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0C09E" w14:textId="4D86A9F9" w:rsidR="0072359A" w:rsidRDefault="0072359A" w:rsidP="00747339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Příloha č. 1 – Technická specifikace předmětu plnění </w:t>
      </w:r>
    </w:p>
    <w:p w14:paraId="4233997D" w14:textId="77777777" w:rsidR="0072359A" w:rsidRDefault="0072359A" w:rsidP="00747339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72A9EFE5" w14:textId="268757E2" w:rsidR="00747339" w:rsidRDefault="00747339" w:rsidP="00747339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A66A74">
        <w:rPr>
          <w:rFonts w:ascii="Arial" w:hAnsi="Arial" w:cs="Arial"/>
          <w:b/>
          <w:bCs/>
          <w:sz w:val="24"/>
          <w:szCs w:val="24"/>
          <w:u w:val="single"/>
        </w:rPr>
        <w:t xml:space="preserve">Část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 w:rsidRPr="00A66A74">
        <w:rPr>
          <w:rFonts w:ascii="Arial" w:hAnsi="Arial" w:cs="Arial"/>
          <w:b/>
          <w:bCs/>
          <w:sz w:val="24"/>
          <w:szCs w:val="24"/>
          <w:u w:val="single"/>
        </w:rPr>
        <w:t xml:space="preserve"> veřejné zakázky </w:t>
      </w:r>
      <w:r>
        <w:rPr>
          <w:rFonts w:ascii="Arial" w:hAnsi="Arial" w:cs="Arial"/>
          <w:b/>
          <w:bCs/>
          <w:sz w:val="24"/>
          <w:szCs w:val="24"/>
          <w:u w:val="single"/>
        </w:rPr>
        <w:t>–</w:t>
      </w:r>
      <w:r w:rsidRPr="00A66A74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bookmarkStart w:id="0" w:name="_Hlk144447386"/>
      <w:r w:rsidR="0072359A">
        <w:rPr>
          <w:rFonts w:ascii="Arial" w:hAnsi="Arial" w:cs="Arial"/>
          <w:b/>
          <w:bCs/>
          <w:sz w:val="24"/>
          <w:szCs w:val="24"/>
          <w:u w:val="single"/>
        </w:rPr>
        <w:t xml:space="preserve">Dodávka IT vybavení pro </w:t>
      </w:r>
      <w:proofErr w:type="spellStart"/>
      <w:r w:rsidR="0072359A">
        <w:rPr>
          <w:rFonts w:ascii="Arial" w:hAnsi="Arial" w:cs="Arial"/>
          <w:b/>
          <w:bCs/>
          <w:sz w:val="24"/>
          <w:szCs w:val="24"/>
          <w:u w:val="single"/>
        </w:rPr>
        <w:t>Infra</w:t>
      </w:r>
      <w:proofErr w:type="spellEnd"/>
      <w:r w:rsidR="0072359A">
        <w:rPr>
          <w:rFonts w:ascii="Arial" w:hAnsi="Arial" w:cs="Arial"/>
          <w:b/>
          <w:bCs/>
          <w:sz w:val="24"/>
          <w:szCs w:val="24"/>
          <w:u w:val="single"/>
        </w:rPr>
        <w:t xml:space="preserve"> Ph.D. I. </w:t>
      </w:r>
      <w:bookmarkEnd w:id="0"/>
    </w:p>
    <w:p w14:paraId="31432DDA" w14:textId="77777777" w:rsidR="005C7EED" w:rsidRPr="00A66A74" w:rsidRDefault="005C7EED" w:rsidP="00747339">
      <w:pPr>
        <w:rPr>
          <w:sz w:val="24"/>
          <w:szCs w:val="24"/>
          <w:u w:val="single"/>
        </w:rPr>
      </w:pPr>
    </w:p>
    <w:p w14:paraId="7A57A1A8" w14:textId="40AAEE2D" w:rsidR="00995E1C" w:rsidRPr="00457A65" w:rsidRDefault="00995E1C" w:rsidP="00995E1C">
      <w:pPr>
        <w:pStyle w:val="Nadpis1"/>
        <w:numPr>
          <w:ilvl w:val="0"/>
          <w:numId w:val="0"/>
        </w:numPr>
        <w:shd w:val="clear" w:color="auto" w:fill="BFBFBF"/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Položka č</w:t>
      </w:r>
      <w:r w:rsidR="00121FAA">
        <w:rPr>
          <w:rFonts w:ascii="Times New Roman" w:hAnsi="Times New Roman"/>
          <w:sz w:val="24"/>
          <w:szCs w:val="24"/>
        </w:rPr>
        <w:t>.</w:t>
      </w:r>
      <w:r w:rsidR="0072359A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Virtualizační server s příslušenstvím</w:t>
      </w:r>
    </w:p>
    <w:p w14:paraId="0EE19BDA" w14:textId="17929840" w:rsidR="00995E1C" w:rsidRPr="006324C5" w:rsidRDefault="00995E1C" w:rsidP="00995E1C">
      <w:pPr>
        <w:spacing w:after="120"/>
        <w:rPr>
          <w:sz w:val="22"/>
          <w:szCs w:val="22"/>
          <w:u w:val="single"/>
        </w:rPr>
      </w:pPr>
      <w:r w:rsidRPr="006324C5">
        <w:rPr>
          <w:sz w:val="22"/>
          <w:szCs w:val="22"/>
          <w:u w:val="single"/>
        </w:rPr>
        <w:t>Základní technická specifikace:</w:t>
      </w:r>
      <w:r>
        <w:rPr>
          <w:sz w:val="22"/>
          <w:szCs w:val="22"/>
          <w:u w:val="single"/>
        </w:rPr>
        <w:t xml:space="preserve"> Virtualizační server s příslušenstvím</w:t>
      </w:r>
    </w:p>
    <w:p w14:paraId="541DF83B" w14:textId="527A38E5" w:rsidR="000B1875" w:rsidRDefault="000B1875" w:rsidP="00995E1C">
      <w:pPr>
        <w:spacing w:after="12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Tato položka </w:t>
      </w:r>
      <w:r w:rsidR="00747339">
        <w:rPr>
          <w:sz w:val="22"/>
          <w:szCs w:val="22"/>
          <w:u w:val="single"/>
        </w:rPr>
        <w:t xml:space="preserve">se dělí </w:t>
      </w:r>
      <w:bookmarkStart w:id="1" w:name="_GoBack"/>
      <w:bookmarkEnd w:id="1"/>
      <w:r w:rsidR="00053ACF">
        <w:rPr>
          <w:sz w:val="22"/>
          <w:szCs w:val="22"/>
          <w:u w:val="single"/>
        </w:rPr>
        <w:t xml:space="preserve">na </w:t>
      </w:r>
      <w:r>
        <w:rPr>
          <w:sz w:val="22"/>
          <w:szCs w:val="22"/>
          <w:u w:val="single"/>
        </w:rPr>
        <w:t xml:space="preserve">dvě fyzické části a to 1.1. a 1.2. a dále hodnoty parametrů, které musejí být splněny ohledně </w:t>
      </w:r>
      <w:proofErr w:type="spellStart"/>
      <w:r>
        <w:rPr>
          <w:sz w:val="22"/>
          <w:szCs w:val="22"/>
          <w:u w:val="single"/>
        </w:rPr>
        <w:t>virtualizačních</w:t>
      </w:r>
      <w:proofErr w:type="spellEnd"/>
      <w:r>
        <w:rPr>
          <w:sz w:val="22"/>
          <w:szCs w:val="22"/>
          <w:u w:val="single"/>
        </w:rPr>
        <w:t xml:space="preserve"> vlastností.</w:t>
      </w:r>
    </w:p>
    <w:p w14:paraId="52154121" w14:textId="77777777" w:rsidR="00D62A68" w:rsidRDefault="00D62A68" w:rsidP="00995E1C">
      <w:pPr>
        <w:spacing w:after="120"/>
        <w:rPr>
          <w:sz w:val="22"/>
          <w:szCs w:val="22"/>
          <w:u w:val="single"/>
        </w:rPr>
      </w:pPr>
    </w:p>
    <w:p w14:paraId="19A8F6D9" w14:textId="192B2397" w:rsidR="00995E1C" w:rsidRPr="006324C5" w:rsidRDefault="00995E1C" w:rsidP="00995E1C">
      <w:pPr>
        <w:spacing w:after="120"/>
        <w:rPr>
          <w:sz w:val="22"/>
          <w:szCs w:val="22"/>
          <w:u w:val="single"/>
        </w:rPr>
      </w:pPr>
      <w:r w:rsidRPr="006324C5">
        <w:rPr>
          <w:sz w:val="22"/>
          <w:szCs w:val="22"/>
          <w:u w:val="single"/>
        </w:rPr>
        <w:t>Základní technická specifikace:</w:t>
      </w:r>
      <w:r>
        <w:rPr>
          <w:sz w:val="22"/>
          <w:szCs w:val="22"/>
          <w:u w:val="single"/>
        </w:rPr>
        <w:t xml:space="preserve"> položka 1.1 Server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6"/>
      </w:tblGrid>
      <w:tr w:rsidR="00995E1C" w:rsidRPr="006324C5" w14:paraId="0A287717" w14:textId="77777777" w:rsidTr="00CE659C"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12B1BD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394568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  <w:vertAlign w:val="superscript"/>
              </w:rPr>
            </w:pPr>
            <w:r w:rsidRPr="006324C5">
              <w:rPr>
                <w:sz w:val="22"/>
                <w:szCs w:val="22"/>
              </w:rPr>
              <w:t xml:space="preserve">Nabídnutá specifikace </w:t>
            </w:r>
            <w:r w:rsidRPr="006324C5">
              <w:rPr>
                <w:sz w:val="22"/>
                <w:szCs w:val="22"/>
                <w:vertAlign w:val="superscript"/>
              </w:rPr>
              <w:t>*</w:t>
            </w:r>
          </w:p>
        </w:tc>
      </w:tr>
      <w:tr w:rsidR="00995E1C" w:rsidRPr="006324C5" w14:paraId="03B17AD5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6D74E0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  <w:r w:rsidRPr="006324C5">
              <w:rPr>
                <w:sz w:val="22"/>
                <w:szCs w:val="22"/>
              </w:rPr>
              <w:t>Výrobce</w:t>
            </w:r>
            <w:r>
              <w:rPr>
                <w:sz w:val="22"/>
                <w:szCs w:val="22"/>
              </w:rPr>
              <w:t xml:space="preserve"> a typ modelu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98A74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29B5C792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E611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Server v provedení k instalaci do 19" racku, maximálně 2U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3E5DB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161D213A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5EAAE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Barevně označené hot-</w:t>
            </w:r>
            <w:proofErr w:type="spellStart"/>
            <w:r w:rsidRPr="00995E1C">
              <w:rPr>
                <w:sz w:val="22"/>
                <w:szCs w:val="22"/>
              </w:rPr>
              <w:t>plug</w:t>
            </w:r>
            <w:proofErr w:type="spellEnd"/>
            <w:r w:rsidRPr="00995E1C">
              <w:rPr>
                <w:sz w:val="22"/>
                <w:szCs w:val="22"/>
              </w:rPr>
              <w:t xml:space="preserve"> komponenty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8E95C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221DC345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06763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Pro přístup ke všem komponentám není nutné nářadí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B3F72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10F97665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8F326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Zásuvné ližiny s managementem kabeláže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4E4C7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1E6C91E8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FBAD6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proofErr w:type="spellStart"/>
            <w:r w:rsidRPr="00995E1C">
              <w:rPr>
                <w:sz w:val="22"/>
                <w:szCs w:val="22"/>
              </w:rPr>
              <w:t>Dual</w:t>
            </w:r>
            <w:proofErr w:type="spellEnd"/>
            <w:r w:rsidRPr="00995E1C">
              <w:rPr>
                <w:sz w:val="22"/>
                <w:szCs w:val="22"/>
              </w:rPr>
              <w:t xml:space="preserve"> CPU systém, osazený dvěma CPU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F7BC9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356C977D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63A7C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 xml:space="preserve">Minimální výkon každého procesoru musí být vyšší než 47 000 bodů dle </w:t>
            </w:r>
            <w:proofErr w:type="spellStart"/>
            <w:r w:rsidRPr="00995E1C">
              <w:rPr>
                <w:sz w:val="22"/>
                <w:szCs w:val="22"/>
              </w:rPr>
              <w:t>Passmark</w:t>
            </w:r>
            <w:proofErr w:type="spellEnd"/>
            <w:r w:rsidRPr="00995E1C">
              <w:rPr>
                <w:sz w:val="22"/>
                <w:szCs w:val="22"/>
              </w:rPr>
              <w:t xml:space="preserve"> </w:t>
            </w:r>
            <w:proofErr w:type="spellStart"/>
            <w:r w:rsidRPr="00995E1C">
              <w:rPr>
                <w:sz w:val="22"/>
                <w:szCs w:val="22"/>
              </w:rPr>
              <w:t>Average</w:t>
            </w:r>
            <w:proofErr w:type="spellEnd"/>
            <w:r w:rsidRPr="00995E1C">
              <w:rPr>
                <w:sz w:val="22"/>
                <w:szCs w:val="22"/>
              </w:rPr>
              <w:t xml:space="preserve"> CPU Mark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E92A5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135E3F7A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C5E32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Min. 1TB, typ DDR4 s taktem min. 3200MT/s.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65816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19B9E3CE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5EBFC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Počet paměťových modulů a rozmístění musí být zvoleno pro optimální výkon s CPU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AF305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234F0766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51946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Možnost zvýšení kapacity na dvojnásobek (tzn. 2TB) při použití identických modulů, bez nutnosti výměny dodaných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75830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7E31FF23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BA55B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 xml:space="preserve">Šasi serveru musí pojmout min. 8 HDD formátu 2.5" (SAS/SATA SSD nebo </w:t>
            </w:r>
            <w:proofErr w:type="spellStart"/>
            <w:r w:rsidRPr="00995E1C">
              <w:rPr>
                <w:sz w:val="22"/>
                <w:szCs w:val="22"/>
              </w:rPr>
              <w:t>NVMe</w:t>
            </w:r>
            <w:proofErr w:type="spellEnd"/>
            <w:r w:rsidRPr="00995E1C">
              <w:rPr>
                <w:sz w:val="22"/>
                <w:szCs w:val="22"/>
              </w:rPr>
              <w:t>), přístupných ve vyměnitelných hot-swap rámečcích z přední strany serveru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34A9B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0A92126B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5D1F5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 xml:space="preserve">Rozhraní disků SAS12, SATA6, rotační i SSD a </w:t>
            </w:r>
            <w:proofErr w:type="spellStart"/>
            <w:r w:rsidRPr="00995E1C">
              <w:rPr>
                <w:sz w:val="22"/>
                <w:szCs w:val="22"/>
              </w:rPr>
              <w:t>NVMe</w:t>
            </w:r>
            <w:proofErr w:type="spellEnd"/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481BD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7F6CB33A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955C9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Osazeny 4ks 1.92TB SSD, SAS12, DWPD &gt;= 1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CBB5D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01F907DF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4AD1D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 xml:space="preserve">Podpora SAS12, SATA6 a </w:t>
            </w:r>
            <w:proofErr w:type="spellStart"/>
            <w:r w:rsidRPr="00995E1C">
              <w:rPr>
                <w:sz w:val="22"/>
                <w:szCs w:val="22"/>
              </w:rPr>
              <w:t>NVMe</w:t>
            </w:r>
            <w:proofErr w:type="spellEnd"/>
            <w:r w:rsidRPr="00995E1C">
              <w:rPr>
                <w:sz w:val="22"/>
                <w:szCs w:val="22"/>
              </w:rPr>
              <w:t xml:space="preserve"> disků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1DA86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5170FDC7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FAA8A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 xml:space="preserve">min. 8GB NV </w:t>
            </w:r>
            <w:proofErr w:type="spellStart"/>
            <w:r w:rsidRPr="00995E1C">
              <w:rPr>
                <w:sz w:val="22"/>
                <w:szCs w:val="22"/>
              </w:rPr>
              <w:t>Cache</w:t>
            </w:r>
            <w:proofErr w:type="spellEnd"/>
            <w:r w:rsidRPr="00995E1C">
              <w:rPr>
                <w:sz w:val="22"/>
                <w:szCs w:val="22"/>
              </w:rPr>
              <w:t>, se zálohováním při výpadku napájení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E4744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04DB3C5B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4A1B8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Podpora RAID 1,5,6,50,60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CF54B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25F5F010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71725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Sběrnice připojení k systému PCI-e Gen 4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FC719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2FD9D00F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75174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Musí být zajištěn dvojicí HDD v RAID1 a kapacitou 480GB, nesmí se jednat o rotační disky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CBF76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06C3A351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FA025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Disky musí být připojeny na jiný RAID řadič než datové disky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F9D55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2FBE23EE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D2150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Tyto disky nesmí zabírat požadovaných 8 hot-swap HDD výše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3A719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78A1A0EC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51DA2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 xml:space="preserve">Disky pro </w:t>
            </w:r>
            <w:proofErr w:type="spellStart"/>
            <w:r w:rsidRPr="00995E1C">
              <w:rPr>
                <w:sz w:val="22"/>
                <w:szCs w:val="22"/>
              </w:rPr>
              <w:t>boot</w:t>
            </w:r>
            <w:proofErr w:type="spellEnd"/>
            <w:r w:rsidRPr="00995E1C">
              <w:rPr>
                <w:sz w:val="22"/>
                <w:szCs w:val="22"/>
              </w:rPr>
              <w:t xml:space="preserve"> OS musí být hot-swap, přístupné z přední nebo zadní strany serveru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E94DD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6D7C0E90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7783D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 xml:space="preserve">podpora 8x </w:t>
            </w:r>
            <w:proofErr w:type="spellStart"/>
            <w:r w:rsidRPr="00995E1C">
              <w:rPr>
                <w:sz w:val="22"/>
                <w:szCs w:val="22"/>
              </w:rPr>
              <w:t>PCIe</w:t>
            </w:r>
            <w:proofErr w:type="spellEnd"/>
            <w:r w:rsidRPr="00995E1C">
              <w:rPr>
                <w:sz w:val="22"/>
                <w:szCs w:val="22"/>
              </w:rPr>
              <w:t xml:space="preserve"> Gen4  (6 x16 + 2 x8)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CBBC4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1C9ED69E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7ABA3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lastRenderedPageBreak/>
              <w:t>Podpora až 4x Double-</w:t>
            </w:r>
            <w:proofErr w:type="spellStart"/>
            <w:r w:rsidRPr="00995E1C">
              <w:rPr>
                <w:sz w:val="22"/>
                <w:szCs w:val="22"/>
              </w:rPr>
              <w:t>Wide</w:t>
            </w:r>
            <w:proofErr w:type="spellEnd"/>
            <w:r w:rsidRPr="00995E1C">
              <w:rPr>
                <w:sz w:val="22"/>
                <w:szCs w:val="22"/>
              </w:rPr>
              <w:t xml:space="preserve"> a 6x Single-</w:t>
            </w:r>
            <w:proofErr w:type="spellStart"/>
            <w:r w:rsidRPr="00995E1C">
              <w:rPr>
                <w:sz w:val="22"/>
                <w:szCs w:val="22"/>
              </w:rPr>
              <w:t>Wide</w:t>
            </w:r>
            <w:proofErr w:type="spellEnd"/>
            <w:r w:rsidRPr="00995E1C">
              <w:rPr>
                <w:sz w:val="22"/>
                <w:szCs w:val="22"/>
              </w:rPr>
              <w:t xml:space="preserve"> GPU, min. výrobců NVIDIA a AMD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079D6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64E55B8A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C3701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Napájení max. 300W, pasivní chlazení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6DF67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05713242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5B744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Paměť min. 48GB DDR6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48863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1F003A34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1BDDB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Šířka pásma paměti min. 690 GB/s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D5704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431F1BC7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59935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 xml:space="preserve">podpora technologie Link </w:t>
            </w:r>
            <w:proofErr w:type="spellStart"/>
            <w:r w:rsidRPr="00995E1C">
              <w:rPr>
                <w:sz w:val="22"/>
                <w:szCs w:val="22"/>
              </w:rPr>
              <w:t>Bridging</w:t>
            </w:r>
            <w:proofErr w:type="spellEnd"/>
            <w:r w:rsidRPr="00995E1C">
              <w:rPr>
                <w:sz w:val="22"/>
                <w:szCs w:val="22"/>
              </w:rPr>
              <w:t xml:space="preserve"> pro umožnění </w:t>
            </w:r>
            <w:proofErr w:type="spellStart"/>
            <w:r w:rsidRPr="00995E1C">
              <w:rPr>
                <w:sz w:val="22"/>
                <w:szCs w:val="22"/>
              </w:rPr>
              <w:t>škálování</w:t>
            </w:r>
            <w:proofErr w:type="spellEnd"/>
            <w:r w:rsidRPr="00995E1C">
              <w:rPr>
                <w:sz w:val="22"/>
                <w:szCs w:val="22"/>
              </w:rPr>
              <w:t xml:space="preserve"> paměti a výkonu pro vylepšení aplikací zaměřených na GPU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3688F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754E7AFC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9755D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 xml:space="preserve">podpora </w:t>
            </w:r>
            <w:proofErr w:type="spellStart"/>
            <w:r w:rsidRPr="00995E1C">
              <w:rPr>
                <w:sz w:val="22"/>
                <w:szCs w:val="22"/>
              </w:rPr>
              <w:t>Multi</w:t>
            </w:r>
            <w:proofErr w:type="spellEnd"/>
            <w:r w:rsidRPr="00995E1C">
              <w:rPr>
                <w:sz w:val="22"/>
                <w:szCs w:val="22"/>
              </w:rPr>
              <w:t xml:space="preserve">-Instance GPU (MIG) pro </w:t>
            </w:r>
            <w:proofErr w:type="spellStart"/>
            <w:r w:rsidRPr="00995E1C">
              <w:rPr>
                <w:sz w:val="22"/>
                <w:szCs w:val="22"/>
              </w:rPr>
              <w:t>multi-tenancy</w:t>
            </w:r>
            <w:proofErr w:type="spellEnd"/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842FC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0F9CAB8F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13A6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 xml:space="preserve">server bude osazen 2x GPU kartami, každá s výkonem min. 9000 bodů dle </w:t>
            </w:r>
            <w:proofErr w:type="spellStart"/>
            <w:r w:rsidRPr="00995E1C">
              <w:rPr>
                <w:sz w:val="22"/>
                <w:szCs w:val="22"/>
              </w:rPr>
              <w:t>Passmark</w:t>
            </w:r>
            <w:proofErr w:type="spellEnd"/>
            <w:r w:rsidRPr="00995E1C">
              <w:rPr>
                <w:sz w:val="22"/>
                <w:szCs w:val="22"/>
              </w:rPr>
              <w:t xml:space="preserve"> </w:t>
            </w:r>
            <w:proofErr w:type="spellStart"/>
            <w:r w:rsidRPr="00995E1C">
              <w:rPr>
                <w:sz w:val="22"/>
                <w:szCs w:val="22"/>
              </w:rPr>
              <w:t>Average</w:t>
            </w:r>
            <w:proofErr w:type="spellEnd"/>
            <w:r w:rsidRPr="00995E1C">
              <w:rPr>
                <w:sz w:val="22"/>
                <w:szCs w:val="22"/>
              </w:rPr>
              <w:t xml:space="preserve"> G3D Mark 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BBC1F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54D79DBE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E4C91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2 porty LAN 10/25GbE SFP+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C1253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6A89FCD5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B6693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2 porty Gigabit LAN na kartě LOM (</w:t>
            </w:r>
            <w:proofErr w:type="spellStart"/>
            <w:r w:rsidRPr="00995E1C">
              <w:rPr>
                <w:sz w:val="22"/>
                <w:szCs w:val="22"/>
              </w:rPr>
              <w:t>onboard</w:t>
            </w:r>
            <w:proofErr w:type="spellEnd"/>
            <w:r w:rsidRPr="00995E1C">
              <w:rPr>
                <w:sz w:val="22"/>
                <w:szCs w:val="22"/>
              </w:rPr>
              <w:t>) nezabírající PCI-e sloty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B0C78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48B7FC6D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55BC8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Možnost budoucí výměny za např. 100GbE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EF0C8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7B401FA7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BBE48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Server musí být vybaven redundantním napájením a chlazením, hot-</w:t>
            </w:r>
            <w:proofErr w:type="spellStart"/>
            <w:r w:rsidRPr="00995E1C">
              <w:rPr>
                <w:sz w:val="22"/>
                <w:szCs w:val="22"/>
              </w:rPr>
              <w:t>plug</w:t>
            </w:r>
            <w:proofErr w:type="spellEnd"/>
            <w:r w:rsidRPr="00995E1C">
              <w:rPr>
                <w:sz w:val="22"/>
                <w:szCs w:val="22"/>
              </w:rPr>
              <w:t xml:space="preserve"> </w:t>
            </w:r>
            <w:proofErr w:type="gramStart"/>
            <w:r w:rsidRPr="00995E1C">
              <w:rPr>
                <w:sz w:val="22"/>
                <w:szCs w:val="22"/>
              </w:rPr>
              <w:t>vyměnitelné  za</w:t>
            </w:r>
            <w:proofErr w:type="gramEnd"/>
            <w:r w:rsidRPr="00995E1C">
              <w:rPr>
                <w:sz w:val="22"/>
                <w:szCs w:val="22"/>
              </w:rPr>
              <w:t xml:space="preserve"> provozu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FC472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564269E1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B4C7E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Zdroje 1+1 , každý alespoň 2400W, hot-</w:t>
            </w:r>
            <w:proofErr w:type="spellStart"/>
            <w:r w:rsidRPr="00995E1C">
              <w:rPr>
                <w:sz w:val="22"/>
                <w:szCs w:val="22"/>
              </w:rPr>
              <w:t>plug</w:t>
            </w:r>
            <w:proofErr w:type="spellEnd"/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25D4E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67DDF0EA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4AFD5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 xml:space="preserve">Servery musí disponovat kompletním </w:t>
            </w:r>
            <w:proofErr w:type="spellStart"/>
            <w:r w:rsidRPr="00995E1C">
              <w:rPr>
                <w:sz w:val="22"/>
                <w:szCs w:val="22"/>
              </w:rPr>
              <w:t>out</w:t>
            </w:r>
            <w:proofErr w:type="spellEnd"/>
            <w:r w:rsidRPr="00995E1C">
              <w:rPr>
                <w:sz w:val="22"/>
                <w:szCs w:val="22"/>
              </w:rPr>
              <w:t>-</w:t>
            </w:r>
            <w:proofErr w:type="spellStart"/>
            <w:r w:rsidRPr="00995E1C">
              <w:rPr>
                <w:sz w:val="22"/>
                <w:szCs w:val="22"/>
              </w:rPr>
              <w:t>of</w:t>
            </w:r>
            <w:proofErr w:type="spellEnd"/>
            <w:r w:rsidRPr="00995E1C">
              <w:rPr>
                <w:sz w:val="22"/>
                <w:szCs w:val="22"/>
              </w:rPr>
              <w:t>-band managementem s dedikovaným LAN portem 1GBase-T. Interní web-GUI managementu pouze v HTML5, možnost ovládání pomocí CLI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A6913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2A189055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03A51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Management serveru nepožaduje instalaci agenta jak pro monitoring, tak pro update SW/FW/BIOS v jednotlivých HW komponentech serveru. Podpora HW profilů. Podpora IPv6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A1231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611FF09A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5DF01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 xml:space="preserve">Podpora hromadné konfigurace více serverů pomocí XML souborů (z USB, nebo síťovým PXE </w:t>
            </w:r>
            <w:proofErr w:type="spellStart"/>
            <w:r w:rsidRPr="00995E1C">
              <w:rPr>
                <w:sz w:val="22"/>
                <w:szCs w:val="22"/>
              </w:rPr>
              <w:t>bootem</w:t>
            </w:r>
            <w:proofErr w:type="spellEnd"/>
            <w:r w:rsidRPr="00995E1C">
              <w:rPr>
                <w:sz w:val="22"/>
                <w:szCs w:val="22"/>
              </w:rPr>
              <w:t>), hesla v takovém souboru musí být hashovaná proti zneužití (</w:t>
            </w:r>
            <w:proofErr w:type="spellStart"/>
            <w:r w:rsidRPr="00995E1C">
              <w:rPr>
                <w:sz w:val="22"/>
                <w:szCs w:val="22"/>
              </w:rPr>
              <w:t>zero</w:t>
            </w:r>
            <w:proofErr w:type="spellEnd"/>
            <w:r w:rsidRPr="00995E1C">
              <w:rPr>
                <w:sz w:val="22"/>
                <w:szCs w:val="22"/>
              </w:rPr>
              <w:t xml:space="preserve"> </w:t>
            </w:r>
            <w:proofErr w:type="spellStart"/>
            <w:r w:rsidRPr="00995E1C">
              <w:rPr>
                <w:sz w:val="22"/>
                <w:szCs w:val="22"/>
              </w:rPr>
              <w:t>touch</w:t>
            </w:r>
            <w:proofErr w:type="spellEnd"/>
            <w:r w:rsidRPr="00995E1C">
              <w:rPr>
                <w:sz w:val="22"/>
                <w:szCs w:val="22"/>
              </w:rPr>
              <w:t xml:space="preserve"> </w:t>
            </w:r>
            <w:proofErr w:type="spellStart"/>
            <w:r w:rsidRPr="00995E1C">
              <w:rPr>
                <w:sz w:val="22"/>
                <w:szCs w:val="22"/>
              </w:rPr>
              <w:t>deployment</w:t>
            </w:r>
            <w:proofErr w:type="spellEnd"/>
            <w:r w:rsidRPr="00995E1C">
              <w:rPr>
                <w:sz w:val="22"/>
                <w:szCs w:val="22"/>
              </w:rPr>
              <w:t>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8DFD6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280CC1FD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E3850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Server musí umožňovat „</w:t>
            </w:r>
            <w:proofErr w:type="spellStart"/>
            <w:r w:rsidRPr="00995E1C">
              <w:rPr>
                <w:sz w:val="22"/>
                <w:szCs w:val="22"/>
              </w:rPr>
              <w:t>lock-out</w:t>
            </w:r>
            <w:proofErr w:type="spellEnd"/>
            <w:r w:rsidRPr="00995E1C">
              <w:rPr>
                <w:sz w:val="22"/>
                <w:szCs w:val="22"/>
              </w:rPr>
              <w:t xml:space="preserve">“ </w:t>
            </w:r>
            <w:proofErr w:type="spellStart"/>
            <w:r w:rsidRPr="00995E1C">
              <w:rPr>
                <w:sz w:val="22"/>
                <w:szCs w:val="22"/>
              </w:rPr>
              <w:t>BIOSu</w:t>
            </w:r>
            <w:proofErr w:type="spellEnd"/>
            <w:r w:rsidRPr="00995E1C">
              <w:rPr>
                <w:sz w:val="22"/>
                <w:szCs w:val="22"/>
              </w:rPr>
              <w:t xml:space="preserve"> a firmware jednotlivých komponent tak aby bylo zabráněno přepisu závadnou aktualizací. Je požadována funkcionalita </w:t>
            </w:r>
            <w:proofErr w:type="spellStart"/>
            <w:r w:rsidRPr="00995E1C">
              <w:rPr>
                <w:sz w:val="22"/>
                <w:szCs w:val="22"/>
              </w:rPr>
              <w:t>secure-erase</w:t>
            </w:r>
            <w:proofErr w:type="spellEnd"/>
            <w:r w:rsidRPr="00995E1C">
              <w:rPr>
                <w:sz w:val="22"/>
                <w:szCs w:val="22"/>
              </w:rPr>
              <w:t xml:space="preserve"> (zabezpečené smazání veškerých dat na serveru a jeho komponentách po jeho vyřazení)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30BE9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4463A8F7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AC04F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 xml:space="preserve">Základní deska či management serveru musí být vybaveny vlastním dedikovaným úložištěm pro umístění ovladačů potřebných pro instalaci OS, diagnostických nástrojů a také konfiguračních parametrů jednotlivých komponent pro případ výměny HW, aby nebylo nutné použití CD/DVD nebo jiných </w:t>
            </w:r>
            <w:proofErr w:type="spellStart"/>
            <w:r w:rsidRPr="00995E1C">
              <w:rPr>
                <w:sz w:val="22"/>
                <w:szCs w:val="22"/>
              </w:rPr>
              <w:t>asistečních</w:t>
            </w:r>
            <w:proofErr w:type="spellEnd"/>
            <w:r w:rsidRPr="00995E1C">
              <w:rPr>
                <w:sz w:val="22"/>
                <w:szCs w:val="22"/>
              </w:rPr>
              <w:t xml:space="preserve"> médií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04F6B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35B3DC44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5F78D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Server vybavený alfanumerickým zobrazovačem stavu s možností nastavení management IP adresy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6C4AD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2605E703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5F81E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Součástí managementu serveru musí být vestavěná funkcionalita call-</w:t>
            </w:r>
            <w:proofErr w:type="spellStart"/>
            <w:r w:rsidRPr="00995E1C">
              <w:rPr>
                <w:sz w:val="22"/>
                <w:szCs w:val="22"/>
              </w:rPr>
              <w:t>home</w:t>
            </w:r>
            <w:proofErr w:type="spellEnd"/>
            <w:r w:rsidRPr="00995E1C">
              <w:rPr>
                <w:sz w:val="22"/>
                <w:szCs w:val="22"/>
              </w:rPr>
              <w:t xml:space="preserve"> (server musí </w:t>
            </w:r>
            <w:r w:rsidRPr="00995E1C">
              <w:rPr>
                <w:sz w:val="22"/>
                <w:szCs w:val="22"/>
              </w:rPr>
              <w:lastRenderedPageBreak/>
              <w:t>být schopen automatizovaného předávání závad a otevírání servisních požadavku na helpdesk výrobce)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C7874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51C574E5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3633E" w14:textId="40B9D1B3" w:rsidR="00AC6938" w:rsidRPr="00AC6938" w:rsidRDefault="00995E1C" w:rsidP="00AC6938">
            <w:pPr>
              <w:pStyle w:val="Prosttext"/>
              <w:rPr>
                <w:rFonts w:ascii="Times New Roman" w:hAnsi="Times New Roman" w:cs="Times New Roman"/>
              </w:rPr>
            </w:pPr>
            <w:r w:rsidRPr="00AC6938">
              <w:rPr>
                <w:rFonts w:ascii="Times New Roman" w:hAnsi="Times New Roman" w:cs="Times New Roman"/>
                <w:szCs w:val="22"/>
              </w:rPr>
              <w:t>Je požadována záruka</w:t>
            </w:r>
            <w:r w:rsidR="00AC6938" w:rsidRPr="00AC6938">
              <w:rPr>
                <w:rFonts w:ascii="Times New Roman" w:hAnsi="Times New Roman" w:cs="Times New Roman"/>
                <w:szCs w:val="22"/>
              </w:rPr>
              <w:t>/servisní podpora</w:t>
            </w:r>
            <w:r w:rsidRPr="00AC6938">
              <w:rPr>
                <w:rFonts w:ascii="Times New Roman" w:hAnsi="Times New Roman" w:cs="Times New Roman"/>
                <w:szCs w:val="22"/>
              </w:rPr>
              <w:t xml:space="preserve"> na dobu 5 let s reakční dobou na založený incident do konce následujícího pracovního dne (NBD)</w:t>
            </w:r>
            <w:r w:rsidR="00AC6938" w:rsidRPr="00AC6938">
              <w:rPr>
                <w:rFonts w:ascii="Times New Roman" w:hAnsi="Times New Roman" w:cs="Times New Roman"/>
                <w:szCs w:val="22"/>
              </w:rPr>
              <w:t xml:space="preserve">. Je požadováno, </w:t>
            </w:r>
            <w:r w:rsidR="00AC6938" w:rsidRPr="00AC6938">
              <w:rPr>
                <w:rFonts w:ascii="Times New Roman" w:hAnsi="Times New Roman" w:cs="Times New Roman"/>
              </w:rPr>
              <w:t xml:space="preserve">aby po uplynutí zakoupené </w:t>
            </w:r>
            <w:proofErr w:type="gramStart"/>
            <w:r w:rsidR="00AC6938" w:rsidRPr="00AC6938">
              <w:rPr>
                <w:rFonts w:ascii="Times New Roman" w:hAnsi="Times New Roman" w:cs="Times New Roman"/>
              </w:rPr>
              <w:t>5 leté</w:t>
            </w:r>
            <w:proofErr w:type="gramEnd"/>
            <w:r w:rsidR="00AC6938" w:rsidRPr="00AC6938">
              <w:rPr>
                <w:rFonts w:ascii="Times New Roman" w:hAnsi="Times New Roman" w:cs="Times New Roman"/>
              </w:rPr>
              <w:t xml:space="preserve"> záruky/servisní podpory bylo možné servisní podporu prodloužit alespoň o další 2 roky</w:t>
            </w:r>
          </w:p>
          <w:p w14:paraId="4B7C3515" w14:textId="4544F0B4" w:rsidR="00995E1C" w:rsidRPr="00995E1C" w:rsidRDefault="00995E1C" w:rsidP="00CE659C">
            <w:pPr>
              <w:rPr>
                <w:sz w:val="22"/>
                <w:szCs w:val="22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D3C0B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194AFFCA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25B9F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Technickou podporu poskytuje výrobce serveru s přístupem k telefonické podpoře 24x7x365.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1A1DB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24B4E7C5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3A8D2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Servisní zásahy provádí technik s příslušnou znalostí, schválený výrobcem.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06238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675856B1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C39D9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Podpora automatického hlášení závady a otevření incidentu.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40608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766974F6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2B2D2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Možnost sledování servisních reportů prostřednictvím internetu.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2F90E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01A2EE84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8EA44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Aktualizace systému dostupné min. po dobu záruky zdarma, nabízené přehledně v servisním portálu po zadání sériového čísla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017EE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AC6938" w:rsidRPr="006324C5" w14:paraId="3E44C963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297B" w14:textId="56F62657" w:rsidR="00AC6938" w:rsidRPr="00995E1C" w:rsidRDefault="00AC6938" w:rsidP="00CE659C">
            <w:pPr>
              <w:rPr>
                <w:sz w:val="22"/>
                <w:szCs w:val="22"/>
              </w:rPr>
            </w:pPr>
            <w:r>
              <w:t>Server musí být nový, určený pro český trh a registrovaný na Ostravskou univerzitu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23A56" w14:textId="77777777" w:rsidR="00AC6938" w:rsidRPr="006324C5" w:rsidRDefault="00AC6938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BF70F0" w14:paraId="09872BAF" w14:textId="77777777" w:rsidTr="00CE659C">
        <w:tc>
          <w:tcPr>
            <w:tcW w:w="4537" w:type="dxa"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62A4E464" w14:textId="77777777" w:rsidR="00995E1C" w:rsidRPr="00BF70F0" w:rsidRDefault="00995E1C" w:rsidP="00CE659C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BF70F0">
              <w:rPr>
                <w:sz w:val="22"/>
                <w:szCs w:val="22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DAB122" w14:textId="77777777" w:rsidR="00995E1C" w:rsidRPr="00BF70F0" w:rsidRDefault="00995E1C" w:rsidP="00CE659C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86" w:type="dxa"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62CA64BA" w14:textId="77777777" w:rsidR="00995E1C" w:rsidRPr="00BF70F0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</w:tbl>
    <w:p w14:paraId="25C0896B" w14:textId="77777777" w:rsidR="00995E1C" w:rsidRDefault="00995E1C" w:rsidP="00995E1C"/>
    <w:p w14:paraId="66649B1F" w14:textId="6D4AB6FD" w:rsidR="00995E1C" w:rsidRPr="001C20AD" w:rsidRDefault="00995E1C" w:rsidP="00995E1C">
      <w:pPr>
        <w:spacing w:after="120"/>
        <w:rPr>
          <w:sz w:val="22"/>
          <w:szCs w:val="22"/>
          <w:u w:val="single"/>
        </w:rPr>
      </w:pPr>
      <w:r w:rsidRPr="006324C5">
        <w:rPr>
          <w:sz w:val="22"/>
          <w:szCs w:val="22"/>
          <w:u w:val="single"/>
        </w:rPr>
        <w:t>Základní technická specifikace:</w:t>
      </w:r>
      <w:r>
        <w:rPr>
          <w:sz w:val="22"/>
          <w:szCs w:val="22"/>
          <w:u w:val="single"/>
        </w:rPr>
        <w:t xml:space="preserve"> položka </w:t>
      </w:r>
      <w:r w:rsidR="00921E0B">
        <w:rPr>
          <w:sz w:val="22"/>
          <w:szCs w:val="22"/>
          <w:u w:val="single"/>
        </w:rPr>
        <w:t>1.2</w:t>
      </w:r>
      <w:r w:rsidRPr="001C20AD">
        <w:rPr>
          <w:sz w:val="22"/>
          <w:szCs w:val="22"/>
          <w:u w:val="single"/>
        </w:rPr>
        <w:t xml:space="preserve"> UPS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6"/>
      </w:tblGrid>
      <w:tr w:rsidR="00995E1C" w:rsidRPr="006324C5" w14:paraId="12181018" w14:textId="77777777" w:rsidTr="00CE659C">
        <w:tc>
          <w:tcPr>
            <w:tcW w:w="4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9FD884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421B24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  <w:vertAlign w:val="superscript"/>
              </w:rPr>
            </w:pPr>
            <w:r w:rsidRPr="006324C5">
              <w:rPr>
                <w:sz w:val="22"/>
                <w:szCs w:val="22"/>
              </w:rPr>
              <w:t xml:space="preserve">Nabídnutá specifikace </w:t>
            </w:r>
            <w:r w:rsidRPr="006324C5">
              <w:rPr>
                <w:sz w:val="22"/>
                <w:szCs w:val="22"/>
                <w:vertAlign w:val="superscript"/>
              </w:rPr>
              <w:t>*</w:t>
            </w:r>
          </w:p>
        </w:tc>
      </w:tr>
      <w:tr w:rsidR="00995E1C" w:rsidRPr="006324C5" w14:paraId="57DB2F12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2E1E4B" w14:textId="77777777" w:rsidR="00995E1C" w:rsidRPr="00995E1C" w:rsidRDefault="00995E1C" w:rsidP="00CE659C">
            <w:pPr>
              <w:spacing w:before="20" w:after="20"/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Výrobce a typ modelu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CF837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6BEC18AC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99E42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Záložní zdroj UPS, jednofázová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8FFDA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3862B215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B6D74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Provedení Tower/</w:t>
            </w:r>
            <w:proofErr w:type="spellStart"/>
            <w:r w:rsidRPr="00995E1C">
              <w:rPr>
                <w:sz w:val="22"/>
                <w:szCs w:val="22"/>
              </w:rPr>
              <w:t>rack</w:t>
            </w:r>
            <w:proofErr w:type="spellEnd"/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2D56E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061A38D5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6904B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Topologie Síťově interaktivní (Line-</w:t>
            </w:r>
            <w:proofErr w:type="spellStart"/>
            <w:r w:rsidRPr="00995E1C">
              <w:rPr>
                <w:sz w:val="22"/>
                <w:szCs w:val="22"/>
              </w:rPr>
              <w:t>interactive</w:t>
            </w:r>
            <w:proofErr w:type="spellEnd"/>
            <w:r w:rsidRPr="00995E1C">
              <w:rPr>
                <w:sz w:val="22"/>
                <w:szCs w:val="22"/>
              </w:rPr>
              <w:t>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A5DB8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6C632888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306D1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Výkon min. 3000W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945B0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0E005E6D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6E111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Výdrž baterie Min. 17 minut při 1000W zatížení</w:t>
            </w:r>
          </w:p>
          <w:p w14:paraId="0FC5262A" w14:textId="0C41426A" w:rsidR="00995E1C" w:rsidRPr="00995E1C" w:rsidRDefault="00393FCB" w:rsidP="00CE65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(dle údajů výrobce)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5DCB2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6E1349C7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33332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Síťově interaktivní (Line-</w:t>
            </w:r>
            <w:proofErr w:type="spellStart"/>
            <w:r w:rsidRPr="00995E1C">
              <w:rPr>
                <w:sz w:val="22"/>
                <w:szCs w:val="22"/>
              </w:rPr>
              <w:t>interactive</w:t>
            </w:r>
            <w:proofErr w:type="spellEnd"/>
            <w:r w:rsidRPr="00995E1C">
              <w:rPr>
                <w:sz w:val="22"/>
                <w:szCs w:val="22"/>
              </w:rPr>
              <w:t>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FD677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5635BD65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23A1F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 xml:space="preserve">Konektory Min. 8x C13, 2x C19, USB, RS232, svorkovnice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CA794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3BB757B8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FA36E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 xml:space="preserve">Slot Min. 1 slot pro komunikační kartu. Osazena komunikační karta Gigabit LAN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DA7B2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4A69AC" w:rsidRPr="006324C5" w14:paraId="76190A3E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E7D59" w14:textId="3B8760CB" w:rsidR="004A69AC" w:rsidRPr="00393FCB" w:rsidRDefault="00393FCB" w:rsidP="00CE659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</w:t>
            </w:r>
            <w:r w:rsidR="004A69AC" w:rsidRPr="00393FCB">
              <w:rPr>
                <w:sz w:val="22"/>
                <w:szCs w:val="22"/>
              </w:rPr>
              <w:t>ompabilita</w:t>
            </w:r>
            <w:proofErr w:type="spellEnd"/>
            <w:r w:rsidR="004A69AC" w:rsidRPr="00393FCB">
              <w:rPr>
                <w:sz w:val="22"/>
                <w:szCs w:val="22"/>
              </w:rPr>
              <w:t xml:space="preserve"> komunikační karty Gigabit LAN s OS </w:t>
            </w:r>
            <w:proofErr w:type="spellStart"/>
            <w:r w:rsidR="004A69AC" w:rsidRPr="00393FCB">
              <w:rPr>
                <w:sz w:val="22"/>
                <w:szCs w:val="22"/>
              </w:rPr>
              <w:t>VmWare</w:t>
            </w:r>
            <w:proofErr w:type="spellEnd"/>
            <w:r w:rsidR="004A69AC" w:rsidRPr="00393FCB">
              <w:rPr>
                <w:sz w:val="22"/>
                <w:szCs w:val="22"/>
              </w:rPr>
              <w:t xml:space="preserve"> včetně SW klienta (SW klient přímo pro </w:t>
            </w:r>
            <w:proofErr w:type="spellStart"/>
            <w:r w:rsidR="004A69AC" w:rsidRPr="00393FCB">
              <w:rPr>
                <w:sz w:val="22"/>
                <w:szCs w:val="22"/>
              </w:rPr>
              <w:t>Vmware</w:t>
            </w:r>
            <w:proofErr w:type="spellEnd"/>
            <w:r w:rsidR="004A69AC" w:rsidRPr="00393FCB">
              <w:rPr>
                <w:sz w:val="22"/>
                <w:szCs w:val="22"/>
              </w:rPr>
              <w:t xml:space="preserve">, nebo SW klient do prostředí </w:t>
            </w:r>
            <w:proofErr w:type="spellStart"/>
            <w:r w:rsidR="004A69AC" w:rsidRPr="00393FCB">
              <w:rPr>
                <w:sz w:val="22"/>
                <w:szCs w:val="22"/>
              </w:rPr>
              <w:t>vSphere</w:t>
            </w:r>
            <w:proofErr w:type="spellEnd"/>
            <w:r w:rsidR="004A69AC" w:rsidRPr="00393FCB">
              <w:rPr>
                <w:sz w:val="22"/>
                <w:szCs w:val="22"/>
              </w:rPr>
              <w:t xml:space="preserve"> Management </w:t>
            </w:r>
            <w:proofErr w:type="spellStart"/>
            <w:r w:rsidR="004A69AC" w:rsidRPr="00393FCB">
              <w:rPr>
                <w:sz w:val="22"/>
                <w:szCs w:val="22"/>
              </w:rPr>
              <w:t>Assistant</w:t>
            </w:r>
            <w:proofErr w:type="spellEnd"/>
            <w:r w:rsidR="004A69AC" w:rsidRPr="00393FCB">
              <w:rPr>
                <w:sz w:val="22"/>
                <w:szCs w:val="22"/>
              </w:rPr>
              <w:t>)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BA516" w14:textId="77777777" w:rsidR="004A69AC" w:rsidRPr="006324C5" w:rsidRDefault="004A69A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364BEA" w:rsidRPr="006324C5" w14:paraId="1D050823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2E4E7" w14:textId="7BBA5C66" w:rsidR="00364BEA" w:rsidRPr="00995E1C" w:rsidRDefault="00364BEA" w:rsidP="00CE65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Zařízení musí být zcela nové, nerepasované a určené pro český trh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43654" w14:textId="77777777" w:rsidR="00364BEA" w:rsidRPr="006324C5" w:rsidRDefault="00364BEA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6324C5" w14:paraId="790F2C6B" w14:textId="77777777" w:rsidTr="00CE659C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CF1A8" w14:textId="77777777" w:rsidR="00995E1C" w:rsidRPr="00995E1C" w:rsidRDefault="00995E1C" w:rsidP="00CE659C">
            <w:pPr>
              <w:rPr>
                <w:sz w:val="22"/>
                <w:szCs w:val="22"/>
              </w:rPr>
            </w:pPr>
            <w:r w:rsidRPr="00995E1C">
              <w:rPr>
                <w:sz w:val="22"/>
                <w:szCs w:val="22"/>
              </w:rPr>
              <w:t>Záruka Min. 3 roky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F7C45" w14:textId="77777777" w:rsidR="00995E1C" w:rsidRPr="006324C5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  <w:tr w:rsidR="00995E1C" w:rsidRPr="00BF70F0" w14:paraId="129A1EB6" w14:textId="77777777" w:rsidTr="00CE659C">
        <w:tc>
          <w:tcPr>
            <w:tcW w:w="4537" w:type="dxa"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5627FE67" w14:textId="77777777" w:rsidR="00995E1C" w:rsidRPr="00BF70F0" w:rsidRDefault="00995E1C" w:rsidP="00CE659C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BF70F0">
              <w:rPr>
                <w:sz w:val="22"/>
                <w:szCs w:val="22"/>
              </w:rPr>
              <w:t>Počet kusů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57A73C" w14:textId="77777777" w:rsidR="00995E1C" w:rsidRPr="00BF70F0" w:rsidRDefault="00995E1C" w:rsidP="00CE659C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86" w:type="dxa"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14:paraId="58B77F43" w14:textId="77777777" w:rsidR="00995E1C" w:rsidRPr="00BF70F0" w:rsidRDefault="00995E1C" w:rsidP="00CE659C">
            <w:pPr>
              <w:spacing w:before="20" w:after="20"/>
              <w:rPr>
                <w:sz w:val="22"/>
                <w:szCs w:val="22"/>
              </w:rPr>
            </w:pPr>
          </w:p>
        </w:tc>
      </w:tr>
    </w:tbl>
    <w:p w14:paraId="44A42F0B" w14:textId="77777777" w:rsidR="00697899" w:rsidRDefault="00697899" w:rsidP="00697899"/>
    <w:p w14:paraId="69AD9FA5" w14:textId="77777777" w:rsidR="00697899" w:rsidRPr="00652890" w:rsidRDefault="00697899" w:rsidP="00697899">
      <w:pPr>
        <w:rPr>
          <w:sz w:val="22"/>
          <w:szCs w:val="22"/>
        </w:rPr>
      </w:pPr>
      <w:r w:rsidRPr="00652890">
        <w:rPr>
          <w:sz w:val="22"/>
          <w:szCs w:val="22"/>
        </w:rPr>
        <w:t>Minimální technické požadavky na software pro virtualizaci prostředí (provoz na jednom serveru s dvěma procesory pro 20 uživatelů):</w:t>
      </w:r>
    </w:p>
    <w:tbl>
      <w:tblPr>
        <w:tblW w:w="90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9"/>
        <w:gridCol w:w="952"/>
        <w:gridCol w:w="2521"/>
      </w:tblGrid>
      <w:tr w:rsidR="00697899" w:rsidRPr="00EE7A16" w14:paraId="0D1E9990" w14:textId="77777777" w:rsidTr="00F123BB">
        <w:tc>
          <w:tcPr>
            <w:tcW w:w="5630" w:type="dxa"/>
            <w:shd w:val="clear" w:color="auto" w:fill="D9D9D9" w:themeFill="background1" w:themeFillShade="D9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4D2774D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Minimální parametry (v případě maximálního, nebo fixního parametru, bude toto uvedeno)</w:t>
            </w:r>
          </w:p>
        </w:tc>
        <w:tc>
          <w:tcPr>
            <w:tcW w:w="894" w:type="dxa"/>
            <w:shd w:val="clear" w:color="auto" w:fill="D9D9D9" w:themeFill="background1" w:themeFillShade="D9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9379033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Splněno</w:t>
            </w:r>
          </w:p>
          <w:p w14:paraId="43A3DC74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ANO/NE</w:t>
            </w:r>
          </w:p>
        </w:tc>
        <w:tc>
          <w:tcPr>
            <w:tcW w:w="2538" w:type="dxa"/>
            <w:shd w:val="clear" w:color="auto" w:fill="D9D9D9" w:themeFill="background1" w:themeFillShade="D9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04D2583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Stručný popis plnění</w:t>
            </w:r>
          </w:p>
          <w:p w14:paraId="2AA4BE20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(pokud existuje)</w:t>
            </w:r>
          </w:p>
        </w:tc>
      </w:tr>
      <w:tr w:rsidR="00697899" w:rsidRPr="00EE7A16" w14:paraId="48CE4197" w14:textId="77777777" w:rsidTr="00F123BB">
        <w:tc>
          <w:tcPr>
            <w:tcW w:w="5630" w:type="dxa"/>
            <w:shd w:val="clear" w:color="auto" w:fill="FFFFFF" w:themeFill="background1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69F5D332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lastRenderedPageBreak/>
              <w:t>Doplňte přesné označení výrobce a označení licence</w:t>
            </w:r>
          </w:p>
        </w:tc>
        <w:tc>
          <w:tcPr>
            <w:tcW w:w="894" w:type="dxa"/>
            <w:shd w:val="clear" w:color="auto" w:fill="FFFFFF" w:themeFill="background1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16B4139C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-</w:t>
            </w:r>
          </w:p>
        </w:tc>
        <w:tc>
          <w:tcPr>
            <w:tcW w:w="2538" w:type="dxa"/>
            <w:shd w:val="clear" w:color="auto" w:fill="FFFFFF" w:themeFill="background1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15611779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</w:p>
        </w:tc>
      </w:tr>
      <w:tr w:rsidR="00697899" w:rsidRPr="00EE7A16" w14:paraId="216729D2" w14:textId="77777777" w:rsidTr="00F123BB">
        <w:tc>
          <w:tcPr>
            <w:tcW w:w="5630" w:type="dxa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BB72662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Dodávané řešení musí plně integrovat funkci pro virtuální GPU (</w:t>
            </w:r>
            <w:proofErr w:type="spellStart"/>
            <w:r w:rsidRPr="00EE7A16">
              <w:rPr>
                <w:sz w:val="22"/>
                <w:szCs w:val="22"/>
              </w:rPr>
              <w:t>vGPU</w:t>
            </w:r>
            <w:proofErr w:type="spellEnd"/>
            <w:r w:rsidRPr="00EE7A16">
              <w:rPr>
                <w:sz w:val="22"/>
                <w:szCs w:val="22"/>
              </w:rPr>
              <w:t>), která zajišťuje rozdělení jednoho fyzického GPU na několik virtuálních GPU, a tyto virtuální GPU přidělovat virtuálním desktopům</w:t>
            </w:r>
          </w:p>
        </w:tc>
        <w:tc>
          <w:tcPr>
            <w:tcW w:w="894" w:type="dxa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C483FFD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 </w:t>
            </w:r>
          </w:p>
        </w:tc>
        <w:tc>
          <w:tcPr>
            <w:tcW w:w="2538" w:type="dxa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ACBA433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 </w:t>
            </w:r>
          </w:p>
        </w:tc>
      </w:tr>
      <w:tr w:rsidR="00697899" w:rsidRPr="00EE7A16" w14:paraId="434571F0" w14:textId="77777777" w:rsidTr="00F123BB">
        <w:trPr>
          <w:trHeight w:val="300"/>
        </w:trPr>
        <w:tc>
          <w:tcPr>
            <w:tcW w:w="5630" w:type="dxa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DBC2958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Řešení musí obsahovat funkci, která bude poskytovat trvalou dostupnost jakémukoliv virtuálnímu stroji (bez ztráty dat nebo přerušení provozu) v případě poruchy fyzického serveru, a to díky běhu kopie produkční virtuálního stroje v každém okamžiku připravené zastoupit originální VM v případě jejího výpadku. Dále musí být součástí virtualizační vrstvy komponenta, která umožní provádět automatizovaně instalaci softwarových aktualizací na hostitelské servery a Microsoft a Linux virtuální servery</w:t>
            </w:r>
          </w:p>
        </w:tc>
        <w:tc>
          <w:tcPr>
            <w:tcW w:w="894" w:type="dxa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68AD676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38" w:type="dxa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75216E8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  <w:tr w:rsidR="00697899" w:rsidRPr="00EE7A16" w14:paraId="759F9842" w14:textId="77777777" w:rsidTr="00F123BB">
        <w:trPr>
          <w:trHeight w:val="300"/>
        </w:trPr>
        <w:tc>
          <w:tcPr>
            <w:tcW w:w="5630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5A30CBBE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Správa virtualizační infrastruktury musí být prováděna z jedné administrativní konzole. Centralizovaná správa umožní integraci s produkty spravovanými třetí stranou přes rozhraní různých webových služeb a rovněž vývoj produktů podle požadavků zadavatele</w:t>
            </w:r>
          </w:p>
        </w:tc>
        <w:tc>
          <w:tcPr>
            <w:tcW w:w="894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1D0523C6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38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693A1E0C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  <w:tr w:rsidR="00697899" w:rsidRPr="00EE7A16" w14:paraId="5A4C25C8" w14:textId="77777777" w:rsidTr="00F123BB">
        <w:tc>
          <w:tcPr>
            <w:tcW w:w="5630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06A11D62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 xml:space="preserve">Řešení bude umožňovat přidávat virtuální CPU a paměť virtuálním strojům za běhu, bez jakéhokoliv přerušení provozu. Hypervizor musí být nainstalovaný přímo na hardware a tím umožnit plnou virtualizaci x86 stroje. Hypervizor musí umožnit symetrický </w:t>
            </w:r>
            <w:proofErr w:type="spellStart"/>
            <w:r w:rsidRPr="00EE7A16">
              <w:rPr>
                <w:sz w:val="22"/>
                <w:szCs w:val="22"/>
              </w:rPr>
              <w:t>multiprocesing</w:t>
            </w:r>
            <w:proofErr w:type="spellEnd"/>
            <w:r w:rsidRPr="00EE7A16">
              <w:rPr>
                <w:sz w:val="22"/>
                <w:szCs w:val="22"/>
              </w:rPr>
              <w:t xml:space="preserve"> zlepšující výkonnost virtuálního stroje a umožnit přidělit až 32 virtuálních procesorů současně jednomu virtuálnímu stroji</w:t>
            </w:r>
          </w:p>
        </w:tc>
        <w:tc>
          <w:tcPr>
            <w:tcW w:w="894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6DF0E063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38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4CDD211D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  <w:tr w:rsidR="00697899" w:rsidRPr="00EE7A16" w14:paraId="4B2AECD7" w14:textId="77777777" w:rsidTr="00F123BB">
        <w:tc>
          <w:tcPr>
            <w:tcW w:w="5630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3652581A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 xml:space="preserve">Z hlediska řízení zátěže řešení musí podporovat automatický dynamický </w:t>
            </w:r>
            <w:proofErr w:type="spellStart"/>
            <w:r w:rsidRPr="00EE7A16">
              <w:rPr>
                <w:sz w:val="22"/>
                <w:szCs w:val="22"/>
              </w:rPr>
              <w:t>balancing</w:t>
            </w:r>
            <w:proofErr w:type="spellEnd"/>
            <w:r w:rsidRPr="00EE7A16">
              <w:rPr>
                <w:sz w:val="22"/>
                <w:szCs w:val="22"/>
              </w:rPr>
              <w:t xml:space="preserve"> aplikačního výkonu nad dostupnými fyzickými hosty a datovými úložišti a konsolidaci zátěže a potřeb virtuálních strojů na menší počet fyzických serverů v případě nižších požadavků na výkon včetně jejich přenosu bez ztráty spojení a jejich následný pohyb zpět na základě změny požadavků. Tyto požadavky musí být možné definovat pomocí pravidel</w:t>
            </w:r>
          </w:p>
        </w:tc>
        <w:tc>
          <w:tcPr>
            <w:tcW w:w="894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100AAD3F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38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04A50E86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  <w:tr w:rsidR="00697899" w:rsidRPr="00EE7A16" w14:paraId="69DAA9AD" w14:textId="77777777" w:rsidTr="00F123BB">
        <w:tc>
          <w:tcPr>
            <w:tcW w:w="5630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48CCDCDB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Řešení musí obsahovat funkcionalitu zjednodušující zřízení a správu virtuálních sítí prostřednictvím centralizovaného rozhraní, která vytvoří jediný tzv. "distribuovaný switch" s distribuovanými skupinami virtuálních portů napříč celým polem spravovaných hostitelských serverů</w:t>
            </w:r>
          </w:p>
        </w:tc>
        <w:tc>
          <w:tcPr>
            <w:tcW w:w="894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764194D9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38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4CF83A20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  <w:tr w:rsidR="00697899" w:rsidRPr="00EE7A16" w14:paraId="1A7A2BF5" w14:textId="77777777" w:rsidTr="00F123BB">
        <w:tc>
          <w:tcPr>
            <w:tcW w:w="5630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04AC39B4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Licenční podmínky umožní rozšiřování kapacity na základě počtu běžících virtuálních strojů. Licenční podmínky nesmí omezovat počet hostitelských serverů, počty CPU, počty jader, velikost RAM a podobně</w:t>
            </w:r>
          </w:p>
        </w:tc>
        <w:tc>
          <w:tcPr>
            <w:tcW w:w="894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5E2E586D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38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3303239E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  <w:tr w:rsidR="00697899" w:rsidRPr="00EE7A16" w14:paraId="39FE6377" w14:textId="77777777" w:rsidTr="00F123BB">
        <w:tc>
          <w:tcPr>
            <w:tcW w:w="5630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5BF51B63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Support na hypervizor musí být poskytován samotným výrobcem hypervizoru po dobu 5 let</w:t>
            </w:r>
          </w:p>
        </w:tc>
        <w:tc>
          <w:tcPr>
            <w:tcW w:w="894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65288672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38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5EBAA951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</w:tbl>
    <w:p w14:paraId="6F3A9A4E" w14:textId="77777777" w:rsidR="00697899" w:rsidRPr="00EE7A16" w:rsidRDefault="00697899" w:rsidP="00697899">
      <w:pPr>
        <w:rPr>
          <w:sz w:val="22"/>
          <w:szCs w:val="22"/>
        </w:rPr>
      </w:pPr>
    </w:p>
    <w:p w14:paraId="14245551" w14:textId="77777777" w:rsidR="00747339" w:rsidRDefault="00747339" w:rsidP="00697899">
      <w:pPr>
        <w:rPr>
          <w:sz w:val="22"/>
          <w:szCs w:val="22"/>
        </w:rPr>
      </w:pPr>
    </w:p>
    <w:p w14:paraId="363E8684" w14:textId="09C63678" w:rsidR="00697899" w:rsidRPr="00EE7A16" w:rsidRDefault="00697899" w:rsidP="00697899">
      <w:pPr>
        <w:rPr>
          <w:sz w:val="22"/>
          <w:szCs w:val="22"/>
        </w:rPr>
      </w:pPr>
      <w:r w:rsidRPr="00EE7A16">
        <w:rPr>
          <w:sz w:val="22"/>
          <w:szCs w:val="22"/>
        </w:rPr>
        <w:t>Minimální technické požadavky na software pro virtuální desktopy (pro 20 uživatelů):</w:t>
      </w:r>
    </w:p>
    <w:tbl>
      <w:tblPr>
        <w:tblW w:w="90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19"/>
        <w:gridCol w:w="992"/>
        <w:gridCol w:w="2551"/>
      </w:tblGrid>
      <w:tr w:rsidR="00697899" w:rsidRPr="00EE7A16" w14:paraId="3DC890F0" w14:textId="77777777" w:rsidTr="00F123BB">
        <w:tc>
          <w:tcPr>
            <w:tcW w:w="5519" w:type="dxa"/>
            <w:shd w:val="clear" w:color="auto" w:fill="D9D9D9" w:themeFill="background1" w:themeFillShade="D9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7BB4A40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Minimální parametry (v případě maximálního, nebo fixního parametru, bude toto uvedeno)</w:t>
            </w:r>
          </w:p>
        </w:tc>
        <w:tc>
          <w:tcPr>
            <w:tcW w:w="992" w:type="dxa"/>
            <w:shd w:val="clear" w:color="auto" w:fill="D9D9D9" w:themeFill="background1" w:themeFillShade="D9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071C39FE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Splněno</w:t>
            </w:r>
          </w:p>
          <w:p w14:paraId="60E9765A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ANO/NE</w:t>
            </w:r>
          </w:p>
        </w:tc>
        <w:tc>
          <w:tcPr>
            <w:tcW w:w="2551" w:type="dxa"/>
            <w:shd w:val="clear" w:color="auto" w:fill="D9D9D9" w:themeFill="background1" w:themeFillShade="D9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76E338F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Stručný popis plnění</w:t>
            </w:r>
          </w:p>
          <w:p w14:paraId="59BCDF1F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(pokud existuje)</w:t>
            </w:r>
          </w:p>
        </w:tc>
      </w:tr>
      <w:tr w:rsidR="00697899" w:rsidRPr="00EE7A16" w14:paraId="1E058EFD" w14:textId="77777777" w:rsidTr="00F123BB">
        <w:tc>
          <w:tcPr>
            <w:tcW w:w="5519" w:type="dxa"/>
            <w:shd w:val="clear" w:color="auto" w:fill="FFFFFF" w:themeFill="background1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526D1783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Doplňte přesné označení výrobce a označení licence</w:t>
            </w:r>
          </w:p>
        </w:tc>
        <w:tc>
          <w:tcPr>
            <w:tcW w:w="992" w:type="dxa"/>
            <w:shd w:val="clear" w:color="auto" w:fill="FFFFFF" w:themeFill="background1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3E2BCBA4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shd w:val="clear" w:color="auto" w:fill="FFFFFF" w:themeFill="background1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31301E42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</w:p>
        </w:tc>
      </w:tr>
      <w:tr w:rsidR="00697899" w:rsidRPr="00EE7A16" w14:paraId="2FCE42BF" w14:textId="77777777" w:rsidTr="00F123BB">
        <w:tc>
          <w:tcPr>
            <w:tcW w:w="5519" w:type="dxa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64B3E8D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lastRenderedPageBreak/>
              <w:t>Řešení musí poskytovat virtuální desktopy a aplikace prostřednictvím jediné platformy, musí mít možnost správy stavu virtuálního desktopu (vypínání, zapínání, reset apod.) z centrálního nástroje pro správu virtuálních desktopů</w:t>
            </w:r>
          </w:p>
        </w:tc>
        <w:tc>
          <w:tcPr>
            <w:tcW w:w="992" w:type="dxa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FAB7B5F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 </w:t>
            </w:r>
          </w:p>
        </w:tc>
        <w:tc>
          <w:tcPr>
            <w:tcW w:w="2551" w:type="dxa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0A89E51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 </w:t>
            </w:r>
          </w:p>
        </w:tc>
      </w:tr>
      <w:tr w:rsidR="00697899" w:rsidRPr="00EE7A16" w14:paraId="5F969711" w14:textId="77777777" w:rsidTr="00F123BB">
        <w:tc>
          <w:tcPr>
            <w:tcW w:w="5519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16E37181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Řešení musí mít možnost spouštění OS fyzických či virtuálních desktopů (Server i desktop OS) z centrálního image bez potřeby existence jakéhokoliv fyzického disku, jenž bude svázán s tímto virtuálním desktopem, pro minimálně tyto OS: Windows 2019 a vyšší, Windows 10 a vyšší</w:t>
            </w:r>
          </w:p>
        </w:tc>
        <w:tc>
          <w:tcPr>
            <w:tcW w:w="992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2E862CB8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6C6E53ED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  <w:tr w:rsidR="00697899" w:rsidRPr="00EE7A16" w14:paraId="170B4E23" w14:textId="77777777" w:rsidTr="00F123BB">
        <w:tc>
          <w:tcPr>
            <w:tcW w:w="5519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2F2E5DA4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Řešení musí mít schopnost řídit vytížení jednotlivých serverů hostujících aplikace a desktopy minimálně na základě následujících parametrů: zatížení procesoru, využití paměti, počet existujících VM, zatížení diskového subsystému</w:t>
            </w:r>
          </w:p>
        </w:tc>
        <w:tc>
          <w:tcPr>
            <w:tcW w:w="992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20CB16BA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2A338F40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  <w:tr w:rsidR="00697899" w:rsidRPr="00EE7A16" w14:paraId="262FC75D" w14:textId="77777777" w:rsidTr="00F123BB">
        <w:tc>
          <w:tcPr>
            <w:tcW w:w="5519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27C15DEC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Řešení musí umět povolit či zakázat přesměrování klientských disků, audio vstupů a výstupů, sériových a USB portů či zařízení na nich připojených, jako tiskáren, kamer, scannerů a klientských senzorů alespoň na základě uživatelského jména nebo členství ve skupině, a identifikace klientského zařízení. Řešení musí umožňovat řídit přístup ke schránce (</w:t>
            </w:r>
            <w:proofErr w:type="spellStart"/>
            <w:r w:rsidRPr="00EE7A16">
              <w:rPr>
                <w:sz w:val="22"/>
                <w:szCs w:val="22"/>
              </w:rPr>
              <w:t>clipboardu</w:t>
            </w:r>
            <w:proofErr w:type="spellEnd"/>
            <w:r w:rsidRPr="00EE7A16">
              <w:rPr>
                <w:sz w:val="22"/>
                <w:szCs w:val="22"/>
              </w:rPr>
              <w:t>) mezi lokálním OS a virtuálním desktopem či aplikací pro data uložená ve schránce, na základě směru kopírování (z klienta na virtuální desktop nebo aplikaci a obráceně)</w:t>
            </w:r>
          </w:p>
        </w:tc>
        <w:tc>
          <w:tcPr>
            <w:tcW w:w="992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403CEBF8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7C355CA3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  <w:tr w:rsidR="00697899" w:rsidRPr="00EE7A16" w14:paraId="41ECBC88" w14:textId="77777777" w:rsidTr="00F123BB">
        <w:tc>
          <w:tcPr>
            <w:tcW w:w="5519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11FFEEDD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Před přihlášením uživatele do systému musí řešení umožňovat zobrazení souhlasu uživatele s podmínkami definovanými organizací. Řešení musí umožňovat použití stávajících periferií připojených na sériová, paralelní a USB rozhraní ve virtuálních desktopech a publikovaných aplikacích, a musí umožňovat tisk na stávajících síťových a osobních tiskárnách</w:t>
            </w:r>
          </w:p>
        </w:tc>
        <w:tc>
          <w:tcPr>
            <w:tcW w:w="992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227B50FB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6FDE659A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  <w:tr w:rsidR="00697899" w:rsidRPr="00EE7A16" w14:paraId="0372CD4A" w14:textId="77777777" w:rsidTr="00F123BB">
        <w:tc>
          <w:tcPr>
            <w:tcW w:w="5519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3209835A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 xml:space="preserve">Řešení musí mít možnost publikování virtuálních desktopů na následujících serverových a desktopových operačních systémech: Windows Server 2019 a vyšší, Windows 10 a vyšší, </w:t>
            </w:r>
            <w:proofErr w:type="spellStart"/>
            <w:r w:rsidRPr="00EE7A16">
              <w:rPr>
                <w:sz w:val="22"/>
                <w:szCs w:val="22"/>
              </w:rPr>
              <w:t>Ubuntu</w:t>
            </w:r>
            <w:proofErr w:type="spellEnd"/>
            <w:r w:rsidRPr="00EE7A16">
              <w:rPr>
                <w:sz w:val="22"/>
                <w:szCs w:val="22"/>
              </w:rPr>
              <w:t xml:space="preserve">, </w:t>
            </w:r>
            <w:proofErr w:type="spellStart"/>
            <w:r w:rsidRPr="00EE7A16">
              <w:rPr>
                <w:sz w:val="22"/>
                <w:szCs w:val="22"/>
              </w:rPr>
              <w:t>Red</w:t>
            </w:r>
            <w:proofErr w:type="spellEnd"/>
            <w:r w:rsidRPr="00EE7A16">
              <w:rPr>
                <w:sz w:val="22"/>
                <w:szCs w:val="22"/>
              </w:rPr>
              <w:t xml:space="preserve"> </w:t>
            </w:r>
            <w:proofErr w:type="spellStart"/>
            <w:r w:rsidRPr="00EE7A16">
              <w:rPr>
                <w:sz w:val="22"/>
                <w:szCs w:val="22"/>
              </w:rPr>
              <w:t>Hat</w:t>
            </w:r>
            <w:proofErr w:type="spellEnd"/>
            <w:r w:rsidRPr="00EE7A16">
              <w:rPr>
                <w:sz w:val="22"/>
                <w:szCs w:val="22"/>
              </w:rPr>
              <w:t xml:space="preserve"> </w:t>
            </w:r>
            <w:proofErr w:type="spellStart"/>
            <w:r w:rsidRPr="00EE7A16">
              <w:rPr>
                <w:sz w:val="22"/>
                <w:szCs w:val="22"/>
              </w:rPr>
              <w:t>Enterprise</w:t>
            </w:r>
            <w:proofErr w:type="spellEnd"/>
            <w:r w:rsidRPr="00EE7A16">
              <w:rPr>
                <w:sz w:val="22"/>
                <w:szCs w:val="22"/>
              </w:rPr>
              <w:t xml:space="preserve"> Linux, SUSE Linux </w:t>
            </w:r>
            <w:proofErr w:type="spellStart"/>
            <w:r w:rsidRPr="00EE7A16">
              <w:rPr>
                <w:sz w:val="22"/>
                <w:szCs w:val="22"/>
              </w:rPr>
              <w:t>Enterprise</w:t>
            </w:r>
            <w:proofErr w:type="spellEnd"/>
            <w:r w:rsidRPr="00EE7A16">
              <w:rPr>
                <w:sz w:val="22"/>
                <w:szCs w:val="22"/>
              </w:rPr>
              <w:t xml:space="preserve"> Desktop, SUSE Linux </w:t>
            </w:r>
            <w:proofErr w:type="spellStart"/>
            <w:r w:rsidRPr="00EE7A16">
              <w:rPr>
                <w:sz w:val="22"/>
                <w:szCs w:val="22"/>
              </w:rPr>
              <w:t>Enterprise</w:t>
            </w:r>
            <w:proofErr w:type="spellEnd"/>
            <w:r w:rsidRPr="00EE7A16">
              <w:rPr>
                <w:sz w:val="22"/>
                <w:szCs w:val="22"/>
              </w:rPr>
              <w:t xml:space="preserve"> Server, </w:t>
            </w:r>
            <w:proofErr w:type="spellStart"/>
            <w:r w:rsidRPr="00EE7A16">
              <w:rPr>
                <w:sz w:val="22"/>
                <w:szCs w:val="22"/>
              </w:rPr>
              <w:t>NeoKylin</w:t>
            </w:r>
            <w:proofErr w:type="spellEnd"/>
            <w:r w:rsidRPr="00EE7A16">
              <w:rPr>
                <w:sz w:val="22"/>
                <w:szCs w:val="22"/>
              </w:rPr>
              <w:t xml:space="preserve">, </w:t>
            </w:r>
            <w:proofErr w:type="spellStart"/>
            <w:r w:rsidRPr="00EE7A16">
              <w:rPr>
                <w:sz w:val="22"/>
                <w:szCs w:val="22"/>
              </w:rPr>
              <w:t>CentOS</w:t>
            </w:r>
            <w:proofErr w:type="spellEnd"/>
          </w:p>
        </w:tc>
        <w:tc>
          <w:tcPr>
            <w:tcW w:w="992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3200D449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64DCBE06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  <w:tr w:rsidR="00697899" w:rsidRPr="00EE7A16" w14:paraId="5CC59692" w14:textId="77777777" w:rsidTr="00F123BB">
        <w:tc>
          <w:tcPr>
            <w:tcW w:w="5519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663A52F1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Součástí řešení musí být nástroj pro poskytování základní uživatelské podpory a nástroj pro sledování, reportování a proaktivní monitorování uživatelů a publikovaných aplikací a virtuálních desktopů s následujícími atributy: přehled o aktivních a odpojených relacích, přehled o době sestavení relace, přepnutí virtuálního desktopu do módu údržby, odpojení relace, ukončení relace</w:t>
            </w:r>
          </w:p>
        </w:tc>
        <w:tc>
          <w:tcPr>
            <w:tcW w:w="992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668CD731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4428655E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  <w:tr w:rsidR="00697899" w:rsidRPr="00EE7A16" w14:paraId="1E3D97F6" w14:textId="77777777" w:rsidTr="00F123BB">
        <w:tc>
          <w:tcPr>
            <w:tcW w:w="5519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232E4D8F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Řešení musí umožňovat oddělit nástroj pro správu a vytváření virtuálních desktopů a aplikací od nástroje ověřující uživatele a nástroje prezentujícího správcem publikované desktopy či aplikace</w:t>
            </w:r>
          </w:p>
        </w:tc>
        <w:tc>
          <w:tcPr>
            <w:tcW w:w="992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42623DB7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4DE67C5B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  <w:tr w:rsidR="00697899" w:rsidRPr="00EE7A16" w14:paraId="66AEB5A3" w14:textId="77777777" w:rsidTr="00F123BB">
        <w:tc>
          <w:tcPr>
            <w:tcW w:w="5519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3BFB773C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 xml:space="preserve">Řešení musí mít možnost spustit publikovanou aplikaci nebo desktop minimálně z následujících operačních systémů a aplikací: Windows 2016 a vyšší a Windows 10 a vyšší, </w:t>
            </w:r>
            <w:r w:rsidRPr="00EE7A16">
              <w:rPr>
                <w:sz w:val="22"/>
                <w:szCs w:val="22"/>
              </w:rPr>
              <w:lastRenderedPageBreak/>
              <w:t xml:space="preserve">Linux, iOS, Android, Chrome OS, MacOS a prohlížeč HTML5. Řešení musí poskytnout připojení klienta k virtuálnímu desktopu min. pomocí protokolu PC </w:t>
            </w:r>
            <w:proofErr w:type="spellStart"/>
            <w:r w:rsidRPr="00EE7A16">
              <w:rPr>
                <w:sz w:val="22"/>
                <w:szCs w:val="22"/>
              </w:rPr>
              <w:t>over</w:t>
            </w:r>
            <w:proofErr w:type="spellEnd"/>
            <w:r w:rsidRPr="00EE7A16">
              <w:rPr>
                <w:sz w:val="22"/>
                <w:szCs w:val="22"/>
              </w:rPr>
              <w:t xml:space="preserve"> IP (</w:t>
            </w:r>
            <w:proofErr w:type="spellStart"/>
            <w:r w:rsidRPr="00EE7A16">
              <w:rPr>
                <w:sz w:val="22"/>
                <w:szCs w:val="22"/>
              </w:rPr>
              <w:t>PCoIP</w:t>
            </w:r>
            <w:proofErr w:type="spellEnd"/>
            <w:r w:rsidRPr="00EE7A16">
              <w:rPr>
                <w:sz w:val="22"/>
                <w:szCs w:val="22"/>
              </w:rPr>
              <w:t xml:space="preserve">) </w:t>
            </w:r>
          </w:p>
        </w:tc>
        <w:tc>
          <w:tcPr>
            <w:tcW w:w="992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3919FB7C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34D190D9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  <w:tr w:rsidR="00697899" w:rsidRPr="00EE7A16" w14:paraId="71265A6F" w14:textId="77777777" w:rsidTr="00F123BB">
        <w:tc>
          <w:tcPr>
            <w:tcW w:w="5519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577B2221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Řešení musí mít možnost vytvářet a aktualizovat virtuální desktopy z jednoho vzorového obrazu na platformách virtualizace serverů provozovaných lokálně on-premise na serverovém hardware, který musí být součástí dodaného řešení. Pro zajištění snadné správy a údržby musí být virtualizační platforma součástí řešení jako jeden celek dodávaný výrobcem společně s platformou pro virtualizaci desktopů. Součástí řešení musí být komponenta pro poskytování aplikací v reálném čase, komponenta pro pokročilou správu uživatelů, profilů a zásad</w:t>
            </w:r>
          </w:p>
        </w:tc>
        <w:tc>
          <w:tcPr>
            <w:tcW w:w="992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29D925C1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0A8A27D2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  <w:tr w:rsidR="00697899" w:rsidRPr="00EE7A16" w14:paraId="3B19A3AF" w14:textId="77777777" w:rsidTr="00F123BB">
        <w:tc>
          <w:tcPr>
            <w:tcW w:w="5519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67684889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 xml:space="preserve">Součástí řešení musí být akcelerace grafického a výpočetního výkonu aplikace MATLAB a dalších aplikací ve virtuálních desktopech prostřednictvím technologie </w:t>
            </w:r>
            <w:proofErr w:type="spellStart"/>
            <w:r w:rsidRPr="00EE7A16">
              <w:rPr>
                <w:sz w:val="22"/>
                <w:szCs w:val="22"/>
              </w:rPr>
              <w:t>vGPU</w:t>
            </w:r>
            <w:proofErr w:type="spellEnd"/>
            <w:r w:rsidRPr="00EE7A16">
              <w:rPr>
                <w:sz w:val="22"/>
                <w:szCs w:val="22"/>
              </w:rPr>
              <w:t>, v rámci dodaného řešení licenčně pokryté pro dosažení nejvyššího možného výkonu GPU akcelerátorů, které musí být součástí dodávaného serverového hardware</w:t>
            </w:r>
          </w:p>
        </w:tc>
        <w:tc>
          <w:tcPr>
            <w:tcW w:w="992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26B3A57C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54E0473C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  <w:tr w:rsidR="00697899" w:rsidRPr="00EE7A16" w14:paraId="7B5D71EF" w14:textId="77777777" w:rsidTr="00F123BB">
        <w:tc>
          <w:tcPr>
            <w:tcW w:w="5519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61A95713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Řešení musí umožnit automatické spuštění vybraných aplikací po přihlášení uživatelem do vzdálené relace, předvolené aplikace budou spouštěny na základě příslušnosti daného uživatele k politice (zásadě) a uživatel do nich bude automaticky přihlášen bez potřeby jeho další interakce</w:t>
            </w:r>
          </w:p>
        </w:tc>
        <w:tc>
          <w:tcPr>
            <w:tcW w:w="992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387E6053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6342239F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  <w:tr w:rsidR="00697899" w:rsidRPr="00EE7A16" w14:paraId="5723261B" w14:textId="77777777" w:rsidTr="00F123BB">
        <w:tc>
          <w:tcPr>
            <w:tcW w:w="5519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4AE8E299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Řešení musí umožnit snadný přesun uživatelů mezi koncovými stanicemi. K přesměrování uživatelské relace musí dojít po ověření uživatele na příslušné koncové stanici</w:t>
            </w:r>
          </w:p>
        </w:tc>
        <w:tc>
          <w:tcPr>
            <w:tcW w:w="992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6349DC53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239646B4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  <w:tr w:rsidR="00697899" w:rsidRPr="00EE7A16" w14:paraId="60CDA129" w14:textId="77777777" w:rsidTr="00F123BB">
        <w:tc>
          <w:tcPr>
            <w:tcW w:w="5519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7A79B4EB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Řešení musí umožňovat využití licencování na pojmenované nebo souběžně pracující uživatele v rámci jedné infrastruktury a zajišťovat minimálně pětiletou podporu implementované verze SW formou funkčních, bezpečnostních aktualizací a přímou podporou ze strany výrobce</w:t>
            </w:r>
          </w:p>
        </w:tc>
        <w:tc>
          <w:tcPr>
            <w:tcW w:w="992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2A1E96C8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728B306C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</w:tbl>
    <w:p w14:paraId="4BAC7A89" w14:textId="77777777" w:rsidR="00697899" w:rsidRPr="00EE7A16" w:rsidRDefault="00697899" w:rsidP="00697899">
      <w:pPr>
        <w:rPr>
          <w:sz w:val="22"/>
          <w:szCs w:val="22"/>
        </w:rPr>
      </w:pPr>
    </w:p>
    <w:p w14:paraId="32E5AF0A" w14:textId="77777777" w:rsidR="00697899" w:rsidRPr="00EE7A16" w:rsidRDefault="00697899" w:rsidP="00697899">
      <w:pPr>
        <w:rPr>
          <w:sz w:val="22"/>
          <w:szCs w:val="22"/>
        </w:rPr>
      </w:pPr>
      <w:r w:rsidRPr="00EE7A16">
        <w:rPr>
          <w:sz w:val="22"/>
          <w:szCs w:val="22"/>
        </w:rPr>
        <w:t xml:space="preserve">Minimální technické požadavky na software pro virtuální </w:t>
      </w:r>
      <w:proofErr w:type="spellStart"/>
      <w:r w:rsidRPr="00EE7A16">
        <w:rPr>
          <w:sz w:val="22"/>
          <w:szCs w:val="22"/>
        </w:rPr>
        <w:t>workstation</w:t>
      </w:r>
      <w:proofErr w:type="spellEnd"/>
      <w:r w:rsidRPr="00EE7A16">
        <w:rPr>
          <w:sz w:val="22"/>
          <w:szCs w:val="22"/>
        </w:rPr>
        <w:t xml:space="preserve"> od výrobce nabízené GPU karty (pro 20 uživatelů):</w:t>
      </w:r>
    </w:p>
    <w:tbl>
      <w:tblPr>
        <w:tblW w:w="90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19"/>
        <w:gridCol w:w="992"/>
        <w:gridCol w:w="2551"/>
      </w:tblGrid>
      <w:tr w:rsidR="00697899" w:rsidRPr="00EE7A16" w14:paraId="124A8910" w14:textId="77777777" w:rsidTr="00F123BB">
        <w:tc>
          <w:tcPr>
            <w:tcW w:w="5519" w:type="dxa"/>
            <w:shd w:val="clear" w:color="auto" w:fill="D9D9D9" w:themeFill="background1" w:themeFillShade="D9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078E13C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Minimální parametry (v případě maximálního, nebo fixního parametru, bude toto uvedeno)</w:t>
            </w:r>
          </w:p>
        </w:tc>
        <w:tc>
          <w:tcPr>
            <w:tcW w:w="992" w:type="dxa"/>
            <w:shd w:val="clear" w:color="auto" w:fill="D9D9D9" w:themeFill="background1" w:themeFillShade="D9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28658308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Splněno</w:t>
            </w:r>
          </w:p>
          <w:p w14:paraId="59608147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ANO/NE</w:t>
            </w:r>
          </w:p>
        </w:tc>
        <w:tc>
          <w:tcPr>
            <w:tcW w:w="2551" w:type="dxa"/>
            <w:shd w:val="clear" w:color="auto" w:fill="D9D9D9" w:themeFill="background1" w:themeFillShade="D9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64C638C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Stručný popis plnění</w:t>
            </w:r>
          </w:p>
          <w:p w14:paraId="1B93DB23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(pokud existuje)</w:t>
            </w:r>
          </w:p>
        </w:tc>
      </w:tr>
      <w:tr w:rsidR="00697899" w:rsidRPr="00EE7A16" w14:paraId="17BAD473" w14:textId="77777777" w:rsidTr="00F123BB">
        <w:tc>
          <w:tcPr>
            <w:tcW w:w="5519" w:type="dxa"/>
            <w:shd w:val="clear" w:color="auto" w:fill="FFFFFF" w:themeFill="background1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5078D8E5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Doplňte přesné označení výrobce a označení licence</w:t>
            </w:r>
          </w:p>
        </w:tc>
        <w:tc>
          <w:tcPr>
            <w:tcW w:w="992" w:type="dxa"/>
            <w:shd w:val="clear" w:color="auto" w:fill="FFFFFF" w:themeFill="background1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472597DE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shd w:val="clear" w:color="auto" w:fill="FFFFFF" w:themeFill="background1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083FEEDA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</w:p>
        </w:tc>
      </w:tr>
      <w:tr w:rsidR="00697899" w:rsidRPr="00EE7A16" w14:paraId="23105CC2" w14:textId="77777777" w:rsidTr="00F123BB">
        <w:tc>
          <w:tcPr>
            <w:tcW w:w="5519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7574FC8B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Umožňuje funkcionality AI-</w:t>
            </w:r>
            <w:proofErr w:type="spellStart"/>
            <w:r w:rsidRPr="00EE7A16">
              <w:rPr>
                <w:sz w:val="22"/>
                <w:szCs w:val="22"/>
              </w:rPr>
              <w:t>Denoising</w:t>
            </w:r>
            <w:proofErr w:type="spellEnd"/>
            <w:r w:rsidRPr="00EE7A16">
              <w:rPr>
                <w:sz w:val="22"/>
                <w:szCs w:val="22"/>
              </w:rPr>
              <w:t xml:space="preserve"> a </w:t>
            </w:r>
            <w:proofErr w:type="spellStart"/>
            <w:r w:rsidRPr="00EE7A16">
              <w:rPr>
                <w:sz w:val="22"/>
                <w:szCs w:val="22"/>
              </w:rPr>
              <w:t>Deep</w:t>
            </w:r>
            <w:proofErr w:type="spellEnd"/>
            <w:r w:rsidRPr="00EE7A16">
              <w:rPr>
                <w:sz w:val="22"/>
                <w:szCs w:val="22"/>
              </w:rPr>
              <w:t xml:space="preserve"> </w:t>
            </w:r>
            <w:proofErr w:type="spellStart"/>
            <w:r w:rsidRPr="00EE7A16">
              <w:rPr>
                <w:sz w:val="22"/>
                <w:szCs w:val="22"/>
              </w:rPr>
              <w:t>Learning</w:t>
            </w:r>
            <w:proofErr w:type="spellEnd"/>
            <w:r w:rsidRPr="00EE7A16">
              <w:rPr>
                <w:sz w:val="22"/>
                <w:szCs w:val="22"/>
              </w:rPr>
              <w:t xml:space="preserve"> Super </w:t>
            </w:r>
            <w:proofErr w:type="spellStart"/>
            <w:r w:rsidRPr="00EE7A16">
              <w:rPr>
                <w:sz w:val="22"/>
                <w:szCs w:val="22"/>
              </w:rPr>
              <w:t>Sampling</w:t>
            </w:r>
            <w:proofErr w:type="spellEnd"/>
          </w:p>
        </w:tc>
        <w:tc>
          <w:tcPr>
            <w:tcW w:w="992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24094640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12D8D281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  <w:tr w:rsidR="00697899" w:rsidRPr="00EE7A16" w14:paraId="097D7918" w14:textId="77777777" w:rsidTr="00F123BB">
        <w:tc>
          <w:tcPr>
            <w:tcW w:w="5519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45C3334D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 xml:space="preserve">Podpora </w:t>
            </w:r>
            <w:proofErr w:type="spellStart"/>
            <w:r w:rsidRPr="00EE7A16">
              <w:rPr>
                <w:sz w:val="22"/>
                <w:szCs w:val="22"/>
              </w:rPr>
              <w:t>Remote</w:t>
            </w:r>
            <w:proofErr w:type="spellEnd"/>
            <w:r w:rsidRPr="00EE7A16">
              <w:rPr>
                <w:sz w:val="22"/>
                <w:szCs w:val="22"/>
              </w:rPr>
              <w:t xml:space="preserve"> Desktop Session Host (RDSH) </w:t>
            </w:r>
            <w:proofErr w:type="spellStart"/>
            <w:r w:rsidRPr="00EE7A16">
              <w:rPr>
                <w:sz w:val="22"/>
                <w:szCs w:val="22"/>
              </w:rPr>
              <w:t>App</w:t>
            </w:r>
            <w:proofErr w:type="spellEnd"/>
            <w:r w:rsidRPr="00EE7A16">
              <w:rPr>
                <w:sz w:val="22"/>
                <w:szCs w:val="22"/>
              </w:rPr>
              <w:t xml:space="preserve"> </w:t>
            </w:r>
            <w:proofErr w:type="spellStart"/>
            <w:r w:rsidRPr="00EE7A16">
              <w:rPr>
                <w:sz w:val="22"/>
                <w:szCs w:val="22"/>
              </w:rPr>
              <w:t>Hosting</w:t>
            </w:r>
            <w:proofErr w:type="spellEnd"/>
            <w:r w:rsidRPr="00EE7A16">
              <w:rPr>
                <w:sz w:val="22"/>
                <w:szCs w:val="22"/>
              </w:rPr>
              <w:t xml:space="preserve"> a RDSH Desktop Hosting</w:t>
            </w:r>
          </w:p>
        </w:tc>
        <w:tc>
          <w:tcPr>
            <w:tcW w:w="992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6C93ECFB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01F75B7D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  <w:tr w:rsidR="00697899" w:rsidRPr="00EE7A16" w14:paraId="5BC11D8C" w14:textId="77777777" w:rsidTr="00F123BB">
        <w:tc>
          <w:tcPr>
            <w:tcW w:w="5519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2D9B476B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Podpora Windows a Linux OS</w:t>
            </w:r>
          </w:p>
        </w:tc>
        <w:tc>
          <w:tcPr>
            <w:tcW w:w="992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390F9919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26711862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  <w:tr w:rsidR="00697899" w:rsidRPr="00EE7A16" w14:paraId="621C3933" w14:textId="77777777" w:rsidTr="00F123BB">
        <w:tc>
          <w:tcPr>
            <w:tcW w:w="5519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1A977BAC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 xml:space="preserve">Podpora GPU </w:t>
            </w:r>
            <w:proofErr w:type="spellStart"/>
            <w:r w:rsidRPr="00EE7A16">
              <w:rPr>
                <w:sz w:val="22"/>
                <w:szCs w:val="22"/>
              </w:rPr>
              <w:t>Pass-Through</w:t>
            </w:r>
            <w:proofErr w:type="spellEnd"/>
          </w:p>
        </w:tc>
        <w:tc>
          <w:tcPr>
            <w:tcW w:w="992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407039F8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2C6CB9AF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  <w:tr w:rsidR="00697899" w:rsidRPr="00EE7A16" w14:paraId="0B490B13" w14:textId="77777777" w:rsidTr="00F123BB">
        <w:tc>
          <w:tcPr>
            <w:tcW w:w="5519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6FCB566E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 xml:space="preserve">Host, </w:t>
            </w:r>
            <w:proofErr w:type="spellStart"/>
            <w:r w:rsidRPr="00EE7A16">
              <w:rPr>
                <w:sz w:val="22"/>
                <w:szCs w:val="22"/>
              </w:rPr>
              <w:t>Guest</w:t>
            </w:r>
            <w:proofErr w:type="spellEnd"/>
            <w:r w:rsidRPr="00EE7A16">
              <w:rPr>
                <w:sz w:val="22"/>
                <w:szCs w:val="22"/>
              </w:rPr>
              <w:t xml:space="preserve"> and </w:t>
            </w:r>
            <w:proofErr w:type="spellStart"/>
            <w:r w:rsidRPr="00EE7A16">
              <w:rPr>
                <w:sz w:val="22"/>
                <w:szCs w:val="22"/>
              </w:rPr>
              <w:t>Application-Level</w:t>
            </w:r>
            <w:proofErr w:type="spellEnd"/>
            <w:r w:rsidRPr="00EE7A16">
              <w:rPr>
                <w:sz w:val="22"/>
                <w:szCs w:val="22"/>
              </w:rPr>
              <w:t xml:space="preserve"> Monitoring</w:t>
            </w:r>
          </w:p>
        </w:tc>
        <w:tc>
          <w:tcPr>
            <w:tcW w:w="992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66BFB24B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6327DCA8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  <w:tr w:rsidR="00697899" w:rsidRPr="00EE7A16" w14:paraId="40EA0BF1" w14:textId="77777777" w:rsidTr="00F123BB">
        <w:tc>
          <w:tcPr>
            <w:tcW w:w="5519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0C3A9CEA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 xml:space="preserve">Podpora Live </w:t>
            </w:r>
            <w:proofErr w:type="spellStart"/>
            <w:r w:rsidRPr="00EE7A16">
              <w:rPr>
                <w:sz w:val="22"/>
                <w:szCs w:val="22"/>
              </w:rPr>
              <w:t>Migration</w:t>
            </w:r>
            <w:proofErr w:type="spellEnd"/>
          </w:p>
        </w:tc>
        <w:tc>
          <w:tcPr>
            <w:tcW w:w="992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3FA27BA6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576E6373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  <w:tr w:rsidR="00697899" w:rsidRPr="00EE7A16" w14:paraId="41949B5F" w14:textId="77777777" w:rsidTr="00F123BB">
        <w:tc>
          <w:tcPr>
            <w:tcW w:w="5519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6DD8FC3B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Podpora výrobce vč. práva na nové verze po dobu 5 let</w:t>
            </w:r>
          </w:p>
        </w:tc>
        <w:tc>
          <w:tcPr>
            <w:tcW w:w="992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385161EA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252618DD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</w:tbl>
    <w:p w14:paraId="7D19511E" w14:textId="77777777" w:rsidR="00697899" w:rsidRPr="00EE7A16" w:rsidRDefault="00697899" w:rsidP="00697899">
      <w:pPr>
        <w:rPr>
          <w:sz w:val="22"/>
          <w:szCs w:val="22"/>
        </w:rPr>
      </w:pPr>
    </w:p>
    <w:p w14:paraId="4F49E249" w14:textId="77777777" w:rsidR="00697899" w:rsidRPr="00EE7A16" w:rsidRDefault="00697899" w:rsidP="00697899">
      <w:pPr>
        <w:rPr>
          <w:sz w:val="22"/>
          <w:szCs w:val="22"/>
        </w:rPr>
      </w:pPr>
      <w:r w:rsidRPr="00EE7A16">
        <w:rPr>
          <w:sz w:val="22"/>
          <w:szCs w:val="22"/>
        </w:rPr>
        <w:t>Minimální technické požadavky na serverový operační systém pro provoz min. 2 virtuálních serverů:</w:t>
      </w:r>
    </w:p>
    <w:tbl>
      <w:tblPr>
        <w:tblW w:w="90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19"/>
        <w:gridCol w:w="992"/>
        <w:gridCol w:w="2551"/>
      </w:tblGrid>
      <w:tr w:rsidR="00697899" w:rsidRPr="00EE7A16" w14:paraId="5FC3E28D" w14:textId="77777777" w:rsidTr="00F123BB">
        <w:tc>
          <w:tcPr>
            <w:tcW w:w="5519" w:type="dxa"/>
            <w:shd w:val="clear" w:color="auto" w:fill="D9D9D9" w:themeFill="background1" w:themeFillShade="D9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07AE40F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Minimální parametry (v případě maximálního, nebo fixního parametru, bude toto uvedeno)</w:t>
            </w:r>
          </w:p>
        </w:tc>
        <w:tc>
          <w:tcPr>
            <w:tcW w:w="992" w:type="dxa"/>
            <w:shd w:val="clear" w:color="auto" w:fill="D9D9D9" w:themeFill="background1" w:themeFillShade="D9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58BEF9C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Splněno</w:t>
            </w:r>
          </w:p>
          <w:p w14:paraId="44741D8C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ANO/NE</w:t>
            </w:r>
          </w:p>
        </w:tc>
        <w:tc>
          <w:tcPr>
            <w:tcW w:w="2551" w:type="dxa"/>
            <w:shd w:val="clear" w:color="auto" w:fill="D9D9D9" w:themeFill="background1" w:themeFillShade="D9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59E5096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Stručný popis plnění</w:t>
            </w:r>
          </w:p>
          <w:p w14:paraId="15866456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(pokud existuje)</w:t>
            </w:r>
          </w:p>
        </w:tc>
      </w:tr>
      <w:tr w:rsidR="00697899" w:rsidRPr="00EE7A16" w14:paraId="433B43C5" w14:textId="77777777" w:rsidTr="00F123BB">
        <w:tc>
          <w:tcPr>
            <w:tcW w:w="5519" w:type="dxa"/>
            <w:shd w:val="clear" w:color="auto" w:fill="FFFFFF" w:themeFill="background1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78D7149C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Doplňte přesné označení výrobce a označení licence</w:t>
            </w:r>
          </w:p>
        </w:tc>
        <w:tc>
          <w:tcPr>
            <w:tcW w:w="992" w:type="dxa"/>
            <w:shd w:val="clear" w:color="auto" w:fill="FFFFFF" w:themeFill="background1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6E3E9942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shd w:val="clear" w:color="auto" w:fill="FFFFFF" w:themeFill="background1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728A6B17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</w:p>
        </w:tc>
      </w:tr>
      <w:tr w:rsidR="00697899" w:rsidRPr="00EE7A16" w14:paraId="02A3F1C1" w14:textId="77777777" w:rsidTr="00F123BB">
        <w:tc>
          <w:tcPr>
            <w:tcW w:w="5519" w:type="dxa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3A3C47E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 xml:space="preserve">Podpora min. 64 procesorových </w:t>
            </w:r>
            <w:proofErr w:type="spellStart"/>
            <w:r w:rsidRPr="00EE7A16">
              <w:rPr>
                <w:sz w:val="22"/>
                <w:szCs w:val="22"/>
              </w:rPr>
              <w:t>socketů</w:t>
            </w:r>
            <w:proofErr w:type="spellEnd"/>
          </w:p>
        </w:tc>
        <w:tc>
          <w:tcPr>
            <w:tcW w:w="992" w:type="dxa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CB5ED24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 </w:t>
            </w:r>
          </w:p>
        </w:tc>
        <w:tc>
          <w:tcPr>
            <w:tcW w:w="2551" w:type="dxa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A574FF9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 </w:t>
            </w:r>
          </w:p>
        </w:tc>
      </w:tr>
      <w:tr w:rsidR="00697899" w:rsidRPr="00EE7A16" w14:paraId="3A9DB1C7" w14:textId="77777777" w:rsidTr="00F123BB">
        <w:tc>
          <w:tcPr>
            <w:tcW w:w="5519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667E3AF9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Podpora min. 48TB operační paměti</w:t>
            </w:r>
          </w:p>
        </w:tc>
        <w:tc>
          <w:tcPr>
            <w:tcW w:w="992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13A955B4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62498C71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  <w:tr w:rsidR="00697899" w:rsidRPr="00EE7A16" w14:paraId="4AF05C4E" w14:textId="77777777" w:rsidTr="00F123BB">
        <w:tc>
          <w:tcPr>
            <w:tcW w:w="5519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4EB9FA41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Podpora běhu v on-premise, hybrid a cloudovém prostředí</w:t>
            </w:r>
          </w:p>
        </w:tc>
        <w:tc>
          <w:tcPr>
            <w:tcW w:w="992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4FC27D15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734576ED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  <w:tr w:rsidR="00697899" w:rsidRPr="00EE7A16" w14:paraId="1F4AA43D" w14:textId="77777777" w:rsidTr="00F123BB">
        <w:tc>
          <w:tcPr>
            <w:tcW w:w="5519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02120012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Podpora TPM 2.0 čipů</w:t>
            </w:r>
          </w:p>
        </w:tc>
        <w:tc>
          <w:tcPr>
            <w:tcW w:w="992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07995CF4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218FA8C7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  <w:tr w:rsidR="00697899" w:rsidRPr="00EE7A16" w14:paraId="726E215E" w14:textId="77777777" w:rsidTr="00F123BB">
        <w:tc>
          <w:tcPr>
            <w:tcW w:w="5519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0D8B8D78" w14:textId="77777777" w:rsidR="00697899" w:rsidRPr="00EE7A16" w:rsidRDefault="00697899" w:rsidP="00F123BB">
            <w:pPr>
              <w:textAlignment w:val="center"/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Podpora kontejnerů</w:t>
            </w:r>
          </w:p>
        </w:tc>
        <w:tc>
          <w:tcPr>
            <w:tcW w:w="992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3DBEF37F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6190287D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  <w:tr w:rsidR="00697899" w:rsidRPr="00EE7A16" w14:paraId="7CD39F21" w14:textId="77777777" w:rsidTr="00F123BB">
        <w:tc>
          <w:tcPr>
            <w:tcW w:w="5519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06030AD0" w14:textId="77777777" w:rsidR="00697899" w:rsidRPr="00EE7A16" w:rsidRDefault="00697899" w:rsidP="00F123BB">
            <w:pPr>
              <w:textAlignment w:val="center"/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Možnost provozu min. 2 virtuálních serverů</w:t>
            </w:r>
          </w:p>
        </w:tc>
        <w:tc>
          <w:tcPr>
            <w:tcW w:w="992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3DC28430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6A55E8DF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  <w:tr w:rsidR="00697899" w:rsidRPr="00EE7A16" w14:paraId="4CD01CA4" w14:textId="77777777" w:rsidTr="00F123BB">
        <w:tc>
          <w:tcPr>
            <w:tcW w:w="5519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5D8CB94F" w14:textId="77777777" w:rsidR="00697899" w:rsidRPr="00EE7A16" w:rsidRDefault="00697899" w:rsidP="00F123BB">
            <w:pPr>
              <w:textAlignment w:val="center"/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 xml:space="preserve">Počet </w:t>
            </w:r>
            <w:proofErr w:type="spellStart"/>
            <w:r w:rsidRPr="00EE7A16">
              <w:rPr>
                <w:sz w:val="22"/>
                <w:szCs w:val="22"/>
              </w:rPr>
              <w:t>zalicencovaných</w:t>
            </w:r>
            <w:proofErr w:type="spellEnd"/>
            <w:r w:rsidRPr="00EE7A16">
              <w:rPr>
                <w:sz w:val="22"/>
                <w:szCs w:val="22"/>
              </w:rPr>
              <w:t xml:space="preserve"> jader musí odpovídat nabízenému CPU v serveru</w:t>
            </w:r>
          </w:p>
        </w:tc>
        <w:tc>
          <w:tcPr>
            <w:tcW w:w="992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7AAE0382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00C97D14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</w:tbl>
    <w:p w14:paraId="66E79824" w14:textId="77777777" w:rsidR="00697899" w:rsidRPr="00EE7A16" w:rsidRDefault="00697899" w:rsidP="00697899">
      <w:pPr>
        <w:rPr>
          <w:sz w:val="22"/>
          <w:szCs w:val="22"/>
        </w:rPr>
      </w:pPr>
    </w:p>
    <w:p w14:paraId="5DC49D34" w14:textId="73533A2D" w:rsidR="00697899" w:rsidRPr="00EE7A16" w:rsidRDefault="00697899" w:rsidP="00697899">
      <w:pPr>
        <w:rPr>
          <w:sz w:val="22"/>
          <w:szCs w:val="22"/>
        </w:rPr>
      </w:pPr>
      <w:r w:rsidRPr="00EE7A16">
        <w:rPr>
          <w:sz w:val="22"/>
          <w:szCs w:val="22"/>
        </w:rPr>
        <w:t xml:space="preserve">Minimální technické požadavky na přístupovou licenci pro provoz virtuálních desktopů od výrobce serverového operačního systému pro 20 uživatelů na dobu </w:t>
      </w:r>
      <w:r w:rsidR="00EB5D23" w:rsidRPr="00EE7A16">
        <w:rPr>
          <w:sz w:val="22"/>
          <w:szCs w:val="22"/>
        </w:rPr>
        <w:t>2</w:t>
      </w:r>
      <w:r w:rsidRPr="00EE7A16">
        <w:rPr>
          <w:sz w:val="22"/>
          <w:szCs w:val="22"/>
        </w:rPr>
        <w:t xml:space="preserve"> let:</w:t>
      </w:r>
    </w:p>
    <w:tbl>
      <w:tblPr>
        <w:tblW w:w="90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19"/>
        <w:gridCol w:w="992"/>
        <w:gridCol w:w="2551"/>
      </w:tblGrid>
      <w:tr w:rsidR="00697899" w:rsidRPr="00EE7A16" w14:paraId="1D6A8E04" w14:textId="77777777" w:rsidTr="00F123BB">
        <w:tc>
          <w:tcPr>
            <w:tcW w:w="5519" w:type="dxa"/>
            <w:shd w:val="clear" w:color="auto" w:fill="D9D9D9" w:themeFill="background1" w:themeFillShade="D9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ACFC4F5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Minimální parametry (v případě maximálního, nebo fixního parametru, bude toto uvedeno)</w:t>
            </w:r>
          </w:p>
        </w:tc>
        <w:tc>
          <w:tcPr>
            <w:tcW w:w="992" w:type="dxa"/>
            <w:shd w:val="clear" w:color="auto" w:fill="D9D9D9" w:themeFill="background1" w:themeFillShade="D9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FC3C883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Splněno</w:t>
            </w:r>
          </w:p>
          <w:p w14:paraId="44F03DCE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ANO/NE</w:t>
            </w:r>
          </w:p>
        </w:tc>
        <w:tc>
          <w:tcPr>
            <w:tcW w:w="2551" w:type="dxa"/>
            <w:shd w:val="clear" w:color="auto" w:fill="D9D9D9" w:themeFill="background1" w:themeFillShade="D9"/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F7FD72F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Stručný popis plnění</w:t>
            </w:r>
          </w:p>
          <w:p w14:paraId="766F0D9F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(pokud existuje)</w:t>
            </w:r>
          </w:p>
        </w:tc>
      </w:tr>
      <w:tr w:rsidR="00697899" w:rsidRPr="00EE7A16" w14:paraId="2580DCB9" w14:textId="77777777" w:rsidTr="00F123BB">
        <w:tc>
          <w:tcPr>
            <w:tcW w:w="5519" w:type="dxa"/>
            <w:shd w:val="clear" w:color="auto" w:fill="FFFFFF" w:themeFill="background1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1BD6EFAB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Doplňte přesné označení výrobce a označení licence</w:t>
            </w:r>
          </w:p>
        </w:tc>
        <w:tc>
          <w:tcPr>
            <w:tcW w:w="992" w:type="dxa"/>
            <w:shd w:val="clear" w:color="auto" w:fill="FFFFFF" w:themeFill="background1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1FB54026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shd w:val="clear" w:color="auto" w:fill="FFFFFF" w:themeFill="background1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076AC128" w14:textId="77777777" w:rsidR="00697899" w:rsidRPr="00EE7A16" w:rsidRDefault="00697899" w:rsidP="00F123BB">
            <w:pPr>
              <w:jc w:val="center"/>
              <w:rPr>
                <w:sz w:val="22"/>
                <w:szCs w:val="22"/>
              </w:rPr>
            </w:pPr>
          </w:p>
        </w:tc>
      </w:tr>
      <w:tr w:rsidR="00697899" w:rsidRPr="00EE7A16" w14:paraId="600111DB" w14:textId="77777777" w:rsidTr="00F123BB">
        <w:tc>
          <w:tcPr>
            <w:tcW w:w="5519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5BA059BB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 xml:space="preserve">Licence umožňuje běh virtuálních strojů s klientským OS Windows na virtualizačním serveru v datacentru </w:t>
            </w:r>
          </w:p>
        </w:tc>
        <w:tc>
          <w:tcPr>
            <w:tcW w:w="992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319F4170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459E2BBF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  <w:tr w:rsidR="00697899" w:rsidRPr="00EE7A16" w14:paraId="52D0E9AF" w14:textId="77777777" w:rsidTr="00F123BB">
        <w:tc>
          <w:tcPr>
            <w:tcW w:w="5519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2416E5BD" w14:textId="77777777" w:rsidR="00697899" w:rsidRPr="00EE7A16" w:rsidRDefault="00697899" w:rsidP="00F123BB">
            <w:pPr>
              <w:rPr>
                <w:sz w:val="22"/>
                <w:szCs w:val="22"/>
              </w:rPr>
            </w:pPr>
            <w:r w:rsidRPr="00EE7A16">
              <w:rPr>
                <w:sz w:val="22"/>
                <w:szCs w:val="22"/>
              </w:rPr>
              <w:t>Licence umožní přístup libovolných klientských zařízení k virtuálním strojům s klientským OS Windows na virtualizačním serveru v datacentru</w:t>
            </w:r>
          </w:p>
        </w:tc>
        <w:tc>
          <w:tcPr>
            <w:tcW w:w="992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1D783BB5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Mar>
              <w:top w:w="40" w:type="dxa"/>
              <w:left w:w="60" w:type="dxa"/>
              <w:bottom w:w="40" w:type="dxa"/>
              <w:right w:w="60" w:type="dxa"/>
            </w:tcMar>
          </w:tcPr>
          <w:p w14:paraId="28976380" w14:textId="77777777" w:rsidR="00697899" w:rsidRPr="00EE7A16" w:rsidRDefault="00697899" w:rsidP="00F123BB">
            <w:pPr>
              <w:rPr>
                <w:sz w:val="22"/>
                <w:szCs w:val="22"/>
              </w:rPr>
            </w:pPr>
          </w:p>
        </w:tc>
      </w:tr>
    </w:tbl>
    <w:p w14:paraId="33A1C3A7" w14:textId="77777777" w:rsidR="00697899" w:rsidRPr="00EE7A16" w:rsidRDefault="00697899" w:rsidP="00697899">
      <w:pPr>
        <w:rPr>
          <w:sz w:val="22"/>
          <w:szCs w:val="22"/>
        </w:rPr>
      </w:pPr>
    </w:p>
    <w:p w14:paraId="5FDBB8C7" w14:textId="77777777" w:rsidR="00697899" w:rsidRPr="00EE7A16" w:rsidRDefault="00697899" w:rsidP="00697899">
      <w:pPr>
        <w:rPr>
          <w:sz w:val="22"/>
          <w:szCs w:val="22"/>
        </w:rPr>
      </w:pPr>
      <w:r w:rsidRPr="00EE7A16">
        <w:rPr>
          <w:sz w:val="22"/>
          <w:szCs w:val="22"/>
        </w:rPr>
        <w:br w:type="page"/>
      </w:r>
    </w:p>
    <w:p w14:paraId="0B4CA5B4" w14:textId="399DB79B" w:rsidR="00697899" w:rsidRPr="00EE7A16" w:rsidRDefault="00697899" w:rsidP="00697899">
      <w:pPr>
        <w:rPr>
          <w:sz w:val="22"/>
          <w:szCs w:val="22"/>
        </w:rPr>
      </w:pPr>
      <w:r w:rsidRPr="00EE7A16">
        <w:rPr>
          <w:sz w:val="22"/>
          <w:szCs w:val="22"/>
        </w:rPr>
        <w:lastRenderedPageBreak/>
        <w:t>Implementační práce</w:t>
      </w:r>
      <w:r w:rsidR="00995E1C" w:rsidRPr="00EE7A16">
        <w:rPr>
          <w:sz w:val="22"/>
          <w:szCs w:val="22"/>
        </w:rPr>
        <w:t xml:space="preserve"> pro položku</w:t>
      </w:r>
      <w:r w:rsidR="00921E0B" w:rsidRPr="00EE7A16">
        <w:rPr>
          <w:sz w:val="22"/>
          <w:szCs w:val="22"/>
        </w:rPr>
        <w:t xml:space="preserve"> č.13</w:t>
      </w:r>
      <w:r w:rsidR="00995E1C" w:rsidRPr="00EE7A16">
        <w:rPr>
          <w:sz w:val="22"/>
          <w:szCs w:val="22"/>
        </w:rPr>
        <w:t xml:space="preserve"> Virtualizační server s příslušenstvím</w:t>
      </w:r>
    </w:p>
    <w:p w14:paraId="74D2C44E" w14:textId="77777777" w:rsidR="00995E1C" w:rsidRPr="00EE7A16" w:rsidRDefault="00995E1C" w:rsidP="00697899">
      <w:pPr>
        <w:rPr>
          <w:sz w:val="22"/>
          <w:szCs w:val="22"/>
        </w:rPr>
      </w:pPr>
    </w:p>
    <w:p w14:paraId="167DA417" w14:textId="77777777" w:rsidR="00697899" w:rsidRPr="00EE7A16" w:rsidRDefault="00697899" w:rsidP="00697899">
      <w:pPr>
        <w:jc w:val="both"/>
        <w:rPr>
          <w:sz w:val="22"/>
          <w:szCs w:val="22"/>
        </w:rPr>
      </w:pPr>
      <w:r w:rsidRPr="00EE7A16">
        <w:rPr>
          <w:sz w:val="22"/>
          <w:szCs w:val="22"/>
        </w:rPr>
        <w:t>Součástí nabídky účastníka bude kompletní zprovoznění nabízeného řešení do plně funkčního a provozuschopného stavu splňujícího všechny požadavky. Jedná se zejména o kompletní sestavení, montáž, instalaci, zahoření, propojení a konfiguraci všech HW prvků dodaných v rámci veřejné zakázky, včetně jejich propojení se stávající HW infrastrukturou zadavatele, instalaci, implementaci a konfiguraci veškerého SW dodaného v rámci veřejné zakázky, včetně jeho propojení se stávající SW infrastrukturou zadavatele, vše dle doporučení a standardů výrobců dodaného HW a SW, dále odzkoušení bezchybného propojení a komunikace nového HW a SW se stávající infrastrukturou, ověření plné funkčnosti celého řešení a řádné proškolení administrátorů.</w:t>
      </w:r>
    </w:p>
    <w:p w14:paraId="6D0CB495" w14:textId="77777777" w:rsidR="00697899" w:rsidRPr="00EE7A16" w:rsidRDefault="00697899" w:rsidP="00697899">
      <w:pPr>
        <w:jc w:val="both"/>
        <w:rPr>
          <w:sz w:val="22"/>
          <w:szCs w:val="22"/>
        </w:rPr>
      </w:pPr>
      <w:r w:rsidRPr="00EE7A16">
        <w:rPr>
          <w:sz w:val="22"/>
          <w:szCs w:val="22"/>
        </w:rPr>
        <w:t>Bude se jednat zejména o tyto činnosti:</w:t>
      </w:r>
    </w:p>
    <w:p w14:paraId="1B78BB1B" w14:textId="77777777" w:rsidR="00697899" w:rsidRPr="00EE7A16" w:rsidRDefault="00697899" w:rsidP="00697899">
      <w:pPr>
        <w:pStyle w:val="Odstavecseseznamem"/>
        <w:numPr>
          <w:ilvl w:val="0"/>
          <w:numId w:val="21"/>
        </w:numPr>
        <w:suppressAutoHyphens w:val="0"/>
        <w:spacing w:after="160" w:line="259" w:lineRule="auto"/>
        <w:contextualSpacing/>
        <w:jc w:val="both"/>
        <w:rPr>
          <w:rFonts w:ascii="Times New Roman" w:eastAsia="Times New Roman" w:hAnsi="Times New Roman"/>
        </w:rPr>
      </w:pPr>
      <w:r w:rsidRPr="00EE7A16">
        <w:rPr>
          <w:rFonts w:ascii="Times New Roman" w:eastAsia="Times New Roman" w:hAnsi="Times New Roman"/>
        </w:rPr>
        <w:t>Zajištění projektového vedení realizace předmětu plnění</w:t>
      </w:r>
    </w:p>
    <w:p w14:paraId="01AEC1C5" w14:textId="77777777" w:rsidR="00697899" w:rsidRPr="00EE7A16" w:rsidRDefault="00697899" w:rsidP="00697899">
      <w:pPr>
        <w:pStyle w:val="Odstavecseseznamem"/>
        <w:numPr>
          <w:ilvl w:val="0"/>
          <w:numId w:val="21"/>
        </w:numPr>
        <w:suppressAutoHyphens w:val="0"/>
        <w:spacing w:after="160" w:line="259" w:lineRule="auto"/>
        <w:contextualSpacing/>
        <w:jc w:val="both"/>
        <w:rPr>
          <w:rFonts w:ascii="Times New Roman" w:eastAsia="Times New Roman" w:hAnsi="Times New Roman"/>
        </w:rPr>
      </w:pPr>
      <w:r w:rsidRPr="00EE7A16">
        <w:rPr>
          <w:rFonts w:ascii="Times New Roman" w:eastAsia="Times New Roman" w:hAnsi="Times New Roman"/>
        </w:rPr>
        <w:t xml:space="preserve">Dodávka, instalace, konfigurace a zprovoznění virtualizačních serverů, instalace, konfigurace a zprovoznění hypervizoru a začlenění a zapojení všech prvků do stávající infrastruktury </w:t>
      </w:r>
    </w:p>
    <w:p w14:paraId="284C5692" w14:textId="77777777" w:rsidR="00697899" w:rsidRPr="00EE7A16" w:rsidRDefault="00697899" w:rsidP="00697899">
      <w:pPr>
        <w:pStyle w:val="Odstavecseseznamem"/>
        <w:numPr>
          <w:ilvl w:val="0"/>
          <w:numId w:val="21"/>
        </w:numPr>
        <w:suppressAutoHyphens w:val="0"/>
        <w:spacing w:after="160" w:line="259" w:lineRule="auto"/>
        <w:contextualSpacing/>
        <w:jc w:val="both"/>
        <w:rPr>
          <w:rFonts w:ascii="Times New Roman" w:eastAsia="Times New Roman" w:hAnsi="Times New Roman"/>
        </w:rPr>
      </w:pPr>
      <w:r w:rsidRPr="00EE7A16">
        <w:rPr>
          <w:rFonts w:ascii="Times New Roman" w:eastAsia="Times New Roman" w:hAnsi="Times New Roman"/>
        </w:rPr>
        <w:t>Dodávka, instalace a konfigurace infrastruktury virtuálních desktopů</w:t>
      </w:r>
    </w:p>
    <w:p w14:paraId="13A1D4C5" w14:textId="77777777" w:rsidR="00697899" w:rsidRPr="00EE7A16" w:rsidRDefault="00697899" w:rsidP="00697899">
      <w:pPr>
        <w:pStyle w:val="Odstavecseseznamem"/>
        <w:numPr>
          <w:ilvl w:val="0"/>
          <w:numId w:val="21"/>
        </w:numPr>
        <w:suppressAutoHyphens w:val="0"/>
        <w:spacing w:after="160" w:line="259" w:lineRule="auto"/>
        <w:contextualSpacing/>
        <w:jc w:val="both"/>
        <w:rPr>
          <w:rFonts w:ascii="Times New Roman" w:eastAsia="Times New Roman" w:hAnsi="Times New Roman"/>
        </w:rPr>
      </w:pPr>
      <w:r w:rsidRPr="00EE7A16">
        <w:rPr>
          <w:rFonts w:ascii="Times New Roman" w:eastAsia="Times New Roman" w:hAnsi="Times New Roman"/>
        </w:rPr>
        <w:t>Vytvoření a předání vzorového virtuálního desktopu</w:t>
      </w:r>
    </w:p>
    <w:p w14:paraId="426C36C0" w14:textId="77777777" w:rsidR="00697899" w:rsidRPr="00EE7A16" w:rsidRDefault="00697899" w:rsidP="00697899">
      <w:pPr>
        <w:pStyle w:val="Odstavecseseznamem"/>
        <w:numPr>
          <w:ilvl w:val="0"/>
          <w:numId w:val="21"/>
        </w:numPr>
        <w:suppressAutoHyphens w:val="0"/>
        <w:spacing w:after="160" w:line="259" w:lineRule="auto"/>
        <w:contextualSpacing/>
        <w:jc w:val="both"/>
        <w:rPr>
          <w:rFonts w:ascii="Times New Roman" w:eastAsia="Times New Roman" w:hAnsi="Times New Roman"/>
        </w:rPr>
      </w:pPr>
      <w:r w:rsidRPr="00EE7A16">
        <w:rPr>
          <w:rFonts w:ascii="Times New Roman" w:eastAsia="Times New Roman" w:hAnsi="Times New Roman"/>
        </w:rPr>
        <w:t>Zpracování a poskytnutí dokumentace skutečného stavu včetně dokumentace parametrů, konfigurací a nastavení hodnot a poskytnutí všech hesel a přístupů ve standardním editovatelném formátu (*.doc, *.</w:t>
      </w:r>
      <w:proofErr w:type="spellStart"/>
      <w:r w:rsidRPr="00EE7A16">
        <w:rPr>
          <w:rFonts w:ascii="Times New Roman" w:eastAsia="Times New Roman" w:hAnsi="Times New Roman"/>
        </w:rPr>
        <w:t>rtf</w:t>
      </w:r>
      <w:proofErr w:type="spellEnd"/>
      <w:r w:rsidRPr="00EE7A16">
        <w:rPr>
          <w:rFonts w:ascii="Times New Roman" w:eastAsia="Times New Roman" w:hAnsi="Times New Roman"/>
        </w:rPr>
        <w:t>, apod.)</w:t>
      </w:r>
    </w:p>
    <w:p w14:paraId="4C7D2B88" w14:textId="77777777" w:rsidR="00697899" w:rsidRPr="00EE7A16" w:rsidRDefault="00697899" w:rsidP="00697899">
      <w:pPr>
        <w:pStyle w:val="Odstavecseseznamem"/>
        <w:numPr>
          <w:ilvl w:val="0"/>
          <w:numId w:val="21"/>
        </w:numPr>
        <w:suppressAutoHyphens w:val="0"/>
        <w:spacing w:after="160" w:line="259" w:lineRule="auto"/>
        <w:contextualSpacing/>
        <w:jc w:val="both"/>
        <w:rPr>
          <w:rFonts w:ascii="Times New Roman" w:eastAsia="Times New Roman" w:hAnsi="Times New Roman"/>
        </w:rPr>
      </w:pPr>
      <w:r w:rsidRPr="00EE7A16">
        <w:rPr>
          <w:rFonts w:ascii="Times New Roman" w:eastAsia="Times New Roman" w:hAnsi="Times New Roman"/>
        </w:rPr>
        <w:t xml:space="preserve">Provedení základního zaškolení administrátorů na dodané technologie v rozsahu min. 4 hodin </w:t>
      </w:r>
    </w:p>
    <w:p w14:paraId="78FBDAB1" w14:textId="77777777" w:rsidR="00697899" w:rsidRPr="00EE7A16" w:rsidRDefault="00697899" w:rsidP="00697899">
      <w:pPr>
        <w:rPr>
          <w:sz w:val="22"/>
          <w:szCs w:val="22"/>
        </w:rPr>
      </w:pPr>
      <w:r w:rsidRPr="00EE7A16">
        <w:rPr>
          <w:sz w:val="22"/>
          <w:szCs w:val="22"/>
        </w:rPr>
        <w:t>Zadavatel poskytne následující součinnost:</w:t>
      </w:r>
    </w:p>
    <w:p w14:paraId="7101B3C8" w14:textId="77777777" w:rsidR="00697899" w:rsidRPr="00EE7A16" w:rsidRDefault="00697899" w:rsidP="00697899">
      <w:pPr>
        <w:pStyle w:val="Odstavecseseznamem"/>
        <w:numPr>
          <w:ilvl w:val="0"/>
          <w:numId w:val="21"/>
        </w:numPr>
        <w:suppressAutoHyphens w:val="0"/>
        <w:spacing w:after="0" w:line="259" w:lineRule="auto"/>
        <w:contextualSpacing/>
        <w:rPr>
          <w:rFonts w:ascii="Times New Roman" w:eastAsia="Times New Roman" w:hAnsi="Times New Roman"/>
        </w:rPr>
      </w:pPr>
      <w:r w:rsidRPr="00EE7A16">
        <w:rPr>
          <w:rFonts w:ascii="Times New Roman" w:eastAsia="Times New Roman" w:hAnsi="Times New Roman"/>
        </w:rPr>
        <w:t>Zajištění fyzického přístupu do prostor instalace</w:t>
      </w:r>
    </w:p>
    <w:p w14:paraId="695AE6AE" w14:textId="77777777" w:rsidR="00697899" w:rsidRPr="00EE7A16" w:rsidRDefault="00697899" w:rsidP="00697899">
      <w:pPr>
        <w:pStyle w:val="Odstavecseseznamem"/>
        <w:numPr>
          <w:ilvl w:val="0"/>
          <w:numId w:val="21"/>
        </w:numPr>
        <w:suppressAutoHyphens w:val="0"/>
        <w:spacing w:after="0" w:line="259" w:lineRule="auto"/>
        <w:contextualSpacing/>
        <w:rPr>
          <w:rFonts w:ascii="Times New Roman" w:eastAsia="Times New Roman" w:hAnsi="Times New Roman"/>
        </w:rPr>
      </w:pPr>
      <w:r w:rsidRPr="00EE7A16">
        <w:rPr>
          <w:rFonts w:ascii="Times New Roman" w:eastAsia="Times New Roman" w:hAnsi="Times New Roman"/>
        </w:rPr>
        <w:t>Zajištění administrátorských přístupů k dotčeným systémům</w:t>
      </w:r>
    </w:p>
    <w:p w14:paraId="5F50981F" w14:textId="77777777" w:rsidR="00697899" w:rsidRPr="00EE7A16" w:rsidRDefault="00697899" w:rsidP="00697899">
      <w:pPr>
        <w:pStyle w:val="Odstavecseseznamem"/>
        <w:numPr>
          <w:ilvl w:val="0"/>
          <w:numId w:val="21"/>
        </w:numPr>
        <w:suppressAutoHyphens w:val="0"/>
        <w:spacing w:after="0" w:line="259" w:lineRule="auto"/>
        <w:contextualSpacing/>
        <w:rPr>
          <w:rFonts w:ascii="Times New Roman" w:eastAsia="Times New Roman" w:hAnsi="Times New Roman"/>
        </w:rPr>
      </w:pPr>
      <w:r w:rsidRPr="00EE7A16">
        <w:rPr>
          <w:rFonts w:ascii="Times New Roman" w:eastAsia="Times New Roman" w:hAnsi="Times New Roman"/>
        </w:rPr>
        <w:t>Příprava prostředí, provedení konfigurací souvisejících s integrací řešení do stávající IT infrastruktury</w:t>
      </w:r>
    </w:p>
    <w:p w14:paraId="31E8C138" w14:textId="77777777" w:rsidR="00697899" w:rsidRPr="00EE7A16" w:rsidRDefault="00697899" w:rsidP="00697899">
      <w:pPr>
        <w:pStyle w:val="Odstavecseseznamem"/>
        <w:numPr>
          <w:ilvl w:val="0"/>
          <w:numId w:val="21"/>
        </w:numPr>
        <w:suppressAutoHyphens w:val="0"/>
        <w:spacing w:after="0" w:line="259" w:lineRule="auto"/>
        <w:contextualSpacing/>
        <w:rPr>
          <w:rFonts w:ascii="Times New Roman" w:eastAsia="Times New Roman" w:hAnsi="Times New Roman"/>
        </w:rPr>
      </w:pPr>
      <w:r w:rsidRPr="00EE7A16">
        <w:rPr>
          <w:rFonts w:ascii="Times New Roman" w:eastAsia="Times New Roman" w:hAnsi="Times New Roman"/>
        </w:rPr>
        <w:t>dostatečný fyzický prostor ve stávající serverové místnosti pro instalaci nové techniky (racku)</w:t>
      </w:r>
    </w:p>
    <w:p w14:paraId="494940A8" w14:textId="77777777" w:rsidR="00697899" w:rsidRPr="00EE7A16" w:rsidRDefault="00697899" w:rsidP="00697899">
      <w:pPr>
        <w:rPr>
          <w:sz w:val="22"/>
          <w:szCs w:val="22"/>
        </w:rPr>
      </w:pPr>
      <w:r w:rsidRPr="00EE7A16">
        <w:rPr>
          <w:sz w:val="22"/>
          <w:szCs w:val="22"/>
        </w:rPr>
        <w:t xml:space="preserve"> </w:t>
      </w:r>
    </w:p>
    <w:p w14:paraId="1A425988" w14:textId="77777777" w:rsidR="00697899" w:rsidRPr="00EE7A16" w:rsidRDefault="00697899" w:rsidP="00697899">
      <w:pPr>
        <w:rPr>
          <w:sz w:val="22"/>
          <w:szCs w:val="22"/>
        </w:rPr>
      </w:pPr>
      <w:r w:rsidRPr="00EE7A16">
        <w:rPr>
          <w:sz w:val="22"/>
          <w:szCs w:val="22"/>
        </w:rPr>
        <w:t>Předmětem implementace není:</w:t>
      </w:r>
    </w:p>
    <w:p w14:paraId="7E716A7A" w14:textId="77777777" w:rsidR="00697899" w:rsidRPr="00EE7A16" w:rsidRDefault="00697899" w:rsidP="00697899">
      <w:pPr>
        <w:pStyle w:val="Odstavecseseznamem"/>
        <w:numPr>
          <w:ilvl w:val="0"/>
          <w:numId w:val="21"/>
        </w:numPr>
        <w:suppressAutoHyphens w:val="0"/>
        <w:spacing w:after="0" w:line="259" w:lineRule="auto"/>
        <w:contextualSpacing/>
        <w:rPr>
          <w:rFonts w:ascii="Times New Roman" w:eastAsia="Times New Roman" w:hAnsi="Times New Roman"/>
        </w:rPr>
      </w:pPr>
      <w:r w:rsidRPr="00EE7A16">
        <w:rPr>
          <w:rFonts w:ascii="Times New Roman" w:eastAsia="Times New Roman" w:hAnsi="Times New Roman"/>
        </w:rPr>
        <w:t>stavební úpravy serverové místnosti</w:t>
      </w:r>
    </w:p>
    <w:p w14:paraId="600ED3BD" w14:textId="77777777" w:rsidR="00697899" w:rsidRPr="00EE7A16" w:rsidRDefault="00697899" w:rsidP="00697899">
      <w:pPr>
        <w:pStyle w:val="Odstavecseseznamem"/>
        <w:numPr>
          <w:ilvl w:val="0"/>
          <w:numId w:val="21"/>
        </w:numPr>
        <w:suppressAutoHyphens w:val="0"/>
        <w:spacing w:after="0" w:line="259" w:lineRule="auto"/>
        <w:contextualSpacing/>
        <w:rPr>
          <w:rFonts w:ascii="Times New Roman" w:eastAsia="Times New Roman" w:hAnsi="Times New Roman"/>
        </w:rPr>
      </w:pPr>
      <w:r w:rsidRPr="00EE7A16">
        <w:rPr>
          <w:rFonts w:ascii="Times New Roman" w:eastAsia="Times New Roman" w:hAnsi="Times New Roman"/>
        </w:rPr>
        <w:t>úpravy rozvodů strukturované kabeláže</w:t>
      </w:r>
    </w:p>
    <w:p w14:paraId="33DDD898" w14:textId="77777777" w:rsidR="00697899" w:rsidRPr="00EE7A16" w:rsidRDefault="00697899" w:rsidP="00697899">
      <w:pPr>
        <w:pStyle w:val="Odstavecseseznamem"/>
        <w:numPr>
          <w:ilvl w:val="0"/>
          <w:numId w:val="21"/>
        </w:numPr>
        <w:suppressAutoHyphens w:val="0"/>
        <w:spacing w:after="0" w:line="259" w:lineRule="auto"/>
        <w:contextualSpacing/>
        <w:rPr>
          <w:rFonts w:ascii="Times New Roman" w:eastAsia="Times New Roman" w:hAnsi="Times New Roman"/>
        </w:rPr>
      </w:pPr>
      <w:r w:rsidRPr="00EE7A16">
        <w:rPr>
          <w:rFonts w:ascii="Times New Roman" w:eastAsia="Times New Roman" w:hAnsi="Times New Roman"/>
        </w:rPr>
        <w:t>úprava přívodů silové elektřiny</w:t>
      </w:r>
    </w:p>
    <w:p w14:paraId="4BAB367F" w14:textId="77777777" w:rsidR="00BE4225" w:rsidRDefault="00BE4225" w:rsidP="00457A65">
      <w:pPr>
        <w:spacing w:after="120"/>
        <w:rPr>
          <w:rFonts w:ascii="Arial" w:hAnsi="Arial" w:cs="Arial"/>
          <w:b/>
          <w:bCs/>
          <w:sz w:val="24"/>
          <w:szCs w:val="24"/>
          <w:u w:val="single"/>
        </w:rPr>
      </w:pPr>
    </w:p>
    <w:sectPr w:rsidR="00BE4225">
      <w:headerReference w:type="default" r:id="rId10"/>
      <w:footerReference w:type="default" r:id="rId11"/>
      <w:pgSz w:w="11906" w:h="16838"/>
      <w:pgMar w:top="1418" w:right="1418" w:bottom="1258" w:left="1418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3616EC" w14:textId="77777777" w:rsidR="00E35CE3" w:rsidRDefault="00E35CE3">
      <w:r>
        <w:separator/>
      </w:r>
    </w:p>
  </w:endnote>
  <w:endnote w:type="continuationSeparator" w:id="0">
    <w:p w14:paraId="0B8950F8" w14:textId="77777777" w:rsidR="00E35CE3" w:rsidRDefault="00E35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Droid Sans">
    <w:charset w:val="00"/>
    <w:family w:val="auto"/>
    <w:pitch w:val="variable"/>
  </w:font>
  <w:font w:name="Lohit Hindi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0A24A" w14:textId="77777777" w:rsidR="00F123BB" w:rsidRDefault="00F123BB">
    <w:pPr>
      <w:pStyle w:val="Zpat"/>
      <w:tabs>
        <w:tab w:val="left" w:pos="3000"/>
      </w:tabs>
      <w:jc w:val="right"/>
      <w:rPr>
        <w:rFonts w:ascii="Arial" w:hAnsi="Arial"/>
      </w:rPr>
    </w:pPr>
    <w:r>
      <w:rPr>
        <w:rFonts w:ascii="Arial" w:hAnsi="Arial"/>
        <w:noProof/>
        <w:lang w:eastAsia="cs-CZ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1F7D5311" wp14:editId="25E86B2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685"/>
              <wp:effectExtent l="0" t="0" r="0" b="0"/>
              <wp:wrapSquare wrapText="largest"/>
              <wp:docPr id="9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040" cy="146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rect w14:anchorId="034795ED" id="Text Box 4" o:spid="_x0000_s1026" style="position:absolute;margin-left:0;margin-top:.05pt;width:1.15pt;height:11.55pt;z-index:-251656192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" filled="f" stroked="f">
              <w10:wrap type="square" side="largest" anchorx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60635E94" wp14:editId="5F30426F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685"/>
              <wp:effectExtent l="0" t="0" r="0" b="0"/>
              <wp:wrapNone/>
              <wp:docPr id="10" name="Textové po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6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1AE8E4" w14:textId="77777777" w:rsidR="00F123BB" w:rsidRDefault="00F123BB">
                          <w:pPr>
                            <w:pStyle w:val="Zpat"/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635E94" id="_x0000_t202" coordsize="21600,21600" o:spt="202" path="m,l,21600r21600,l21600,xe">
              <v:stroke joinstyle="miter"/>
              <v:path gradientshapeok="t" o:connecttype="rect"/>
            </v:shapetype>
            <v:shape id="Textové pole 10" o:spid="_x0000_s1026" type="#_x0000_t202" style="position:absolute;left:0;text-align:left;margin-left:0;margin-top:.05pt;width:1.15pt;height:11.55pt;z-index:-25166080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" filled="f" stroked="f">
              <v:textbox inset="0,0,0,0">
                <w:txbxContent>
                  <w:p w14:paraId="311AE8E4" w14:textId="77777777" w:rsidR="00F123BB" w:rsidRDefault="00F123BB">
                    <w:pPr>
                      <w:pStyle w:val="Zpat"/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598EFA26" w14:textId="77777777" w:rsidR="00F123BB" w:rsidRDefault="00F123BB">
    <w:pPr>
      <w:jc w:val="right"/>
    </w:pP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40692E" w14:textId="77777777" w:rsidR="00E35CE3" w:rsidRDefault="00E35CE3">
      <w:r>
        <w:separator/>
      </w:r>
    </w:p>
  </w:footnote>
  <w:footnote w:type="continuationSeparator" w:id="0">
    <w:p w14:paraId="6B072782" w14:textId="77777777" w:rsidR="00E35CE3" w:rsidRDefault="00E35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7470D" w14:textId="77777777" w:rsidR="00F123BB" w:rsidRDefault="00F123B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5518F682"/>
    <w:lvl w:ilvl="0">
      <w:start w:val="1"/>
      <w:numFmt w:val="decimal"/>
      <w:pStyle w:val="Nadpis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b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446"/>
        </w:tabs>
        <w:ind w:left="1446" w:hanging="1080"/>
      </w:pPr>
    </w:lvl>
    <w:lvl w:ilvl="4">
      <w:start w:val="1"/>
      <w:numFmt w:val="decimal"/>
      <w:lvlText w:val="%1.%2.%3.%4.%5."/>
      <w:lvlJc w:val="left"/>
      <w:pPr>
        <w:tabs>
          <w:tab w:val="num" w:pos="1809"/>
        </w:tabs>
        <w:ind w:left="1809" w:hanging="1440"/>
      </w:pPr>
    </w:lvl>
    <w:lvl w:ilvl="5">
      <w:start w:val="1"/>
      <w:numFmt w:val="decimal"/>
      <w:lvlText w:val="%1.%2.%3.%4.%5.%6."/>
      <w:lvlJc w:val="left"/>
      <w:pPr>
        <w:tabs>
          <w:tab w:val="num" w:pos="1812"/>
        </w:tabs>
        <w:ind w:left="181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75"/>
        </w:tabs>
        <w:ind w:left="2175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38"/>
        </w:tabs>
        <w:ind w:left="2538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41"/>
        </w:tabs>
        <w:ind w:left="2541" w:hanging="2160"/>
      </w:pPr>
    </w:lvl>
  </w:abstractNum>
  <w:abstractNum w:abstractNumId="1" w15:restartNumberingAfterBreak="0">
    <w:nsid w:val="0000000F"/>
    <w:multiLevelType w:val="multilevel"/>
    <w:tmpl w:val="0000000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5F422D"/>
    <w:multiLevelType w:val="hybridMultilevel"/>
    <w:tmpl w:val="0B7873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37C47"/>
    <w:multiLevelType w:val="multilevel"/>
    <w:tmpl w:val="0F4AD97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ascii="Arial" w:hAnsi="Arial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446"/>
        </w:tabs>
        <w:ind w:left="1446" w:hanging="1080"/>
      </w:pPr>
    </w:lvl>
    <w:lvl w:ilvl="4">
      <w:start w:val="1"/>
      <w:numFmt w:val="decimal"/>
      <w:lvlText w:val="%1.%2.%3.%4.%5."/>
      <w:lvlJc w:val="left"/>
      <w:pPr>
        <w:tabs>
          <w:tab w:val="num" w:pos="1809"/>
        </w:tabs>
        <w:ind w:left="1809" w:hanging="1440"/>
      </w:pPr>
    </w:lvl>
    <w:lvl w:ilvl="5">
      <w:start w:val="1"/>
      <w:numFmt w:val="decimal"/>
      <w:lvlText w:val="%1.%2.%3.%4.%5.%6."/>
      <w:lvlJc w:val="left"/>
      <w:pPr>
        <w:tabs>
          <w:tab w:val="num" w:pos="1812"/>
        </w:tabs>
        <w:ind w:left="181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75"/>
        </w:tabs>
        <w:ind w:left="2175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38"/>
        </w:tabs>
        <w:ind w:left="2538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41"/>
        </w:tabs>
        <w:ind w:left="2541" w:hanging="2160"/>
      </w:pPr>
    </w:lvl>
  </w:abstractNum>
  <w:abstractNum w:abstractNumId="4" w15:restartNumberingAfterBreak="0">
    <w:nsid w:val="14856EB7"/>
    <w:multiLevelType w:val="hybridMultilevel"/>
    <w:tmpl w:val="219CE23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A3EB1"/>
    <w:multiLevelType w:val="hybridMultilevel"/>
    <w:tmpl w:val="80F251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812C1"/>
    <w:multiLevelType w:val="hybridMultilevel"/>
    <w:tmpl w:val="502404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E287B"/>
    <w:multiLevelType w:val="hybridMultilevel"/>
    <w:tmpl w:val="40E04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C3631"/>
    <w:multiLevelType w:val="hybridMultilevel"/>
    <w:tmpl w:val="67E436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31F6C"/>
    <w:multiLevelType w:val="hybridMultilevel"/>
    <w:tmpl w:val="51EAEC7C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B0F11AE"/>
    <w:multiLevelType w:val="hybridMultilevel"/>
    <w:tmpl w:val="E8A6C3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533981"/>
    <w:multiLevelType w:val="hybridMultilevel"/>
    <w:tmpl w:val="CB2E51CA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8122EA"/>
    <w:multiLevelType w:val="multilevel"/>
    <w:tmpl w:val="41584E9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D50F58"/>
    <w:multiLevelType w:val="hybridMultilevel"/>
    <w:tmpl w:val="B6625C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0E243A"/>
    <w:multiLevelType w:val="multilevel"/>
    <w:tmpl w:val="F6607862"/>
    <w:lvl w:ilvl="0">
      <w:start w:val="1"/>
      <w:numFmt w:val="bullet"/>
      <w:lvlText w:val="-"/>
      <w:lvlJc w:val="left"/>
      <w:pPr>
        <w:ind w:left="144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AAE132C"/>
    <w:multiLevelType w:val="hybridMultilevel"/>
    <w:tmpl w:val="52D083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4E2E17"/>
    <w:multiLevelType w:val="hybridMultilevel"/>
    <w:tmpl w:val="C00AF3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913B51"/>
    <w:multiLevelType w:val="multilevel"/>
    <w:tmpl w:val="F9003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18" w15:restartNumberingAfterBreak="0">
    <w:nsid w:val="6FF43DB5"/>
    <w:multiLevelType w:val="multilevel"/>
    <w:tmpl w:val="EF3C5A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4C32F2B"/>
    <w:multiLevelType w:val="hybridMultilevel"/>
    <w:tmpl w:val="B0845B68"/>
    <w:lvl w:ilvl="0" w:tplc="2966AE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74025E"/>
    <w:multiLevelType w:val="hybridMultilevel"/>
    <w:tmpl w:val="E4D20176"/>
    <w:lvl w:ilvl="0" w:tplc="1082B52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4"/>
  </w:num>
  <w:num w:numId="4">
    <w:abstractNumId w:val="18"/>
  </w:num>
  <w:num w:numId="5">
    <w:abstractNumId w:val="1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0"/>
  </w:num>
  <w:num w:numId="10">
    <w:abstractNumId w:val="19"/>
  </w:num>
  <w:num w:numId="11">
    <w:abstractNumId w:val="16"/>
  </w:num>
  <w:num w:numId="12">
    <w:abstractNumId w:val="5"/>
  </w:num>
  <w:num w:numId="13">
    <w:abstractNumId w:val="10"/>
  </w:num>
  <w:num w:numId="14">
    <w:abstractNumId w:val="7"/>
  </w:num>
  <w:num w:numId="15">
    <w:abstractNumId w:val="8"/>
  </w:num>
  <w:num w:numId="16">
    <w:abstractNumId w:val="2"/>
  </w:num>
  <w:num w:numId="17">
    <w:abstractNumId w:val="6"/>
  </w:num>
  <w:num w:numId="18">
    <w:abstractNumId w:val="13"/>
  </w:num>
  <w:num w:numId="19">
    <w:abstractNumId w:val="4"/>
  </w:num>
  <w:num w:numId="20">
    <w:abstractNumId w:val="9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26F"/>
    <w:rsid w:val="00005EC7"/>
    <w:rsid w:val="000142C6"/>
    <w:rsid w:val="00014623"/>
    <w:rsid w:val="00053ACF"/>
    <w:rsid w:val="00073C79"/>
    <w:rsid w:val="00085DD9"/>
    <w:rsid w:val="000B1875"/>
    <w:rsid w:val="000B2959"/>
    <w:rsid w:val="000C0841"/>
    <w:rsid w:val="00112185"/>
    <w:rsid w:val="00121FAA"/>
    <w:rsid w:val="00131A14"/>
    <w:rsid w:val="001336CC"/>
    <w:rsid w:val="00140AFA"/>
    <w:rsid w:val="00171F8A"/>
    <w:rsid w:val="00172571"/>
    <w:rsid w:val="0018101F"/>
    <w:rsid w:val="001A04F7"/>
    <w:rsid w:val="001F5021"/>
    <w:rsid w:val="00213A3C"/>
    <w:rsid w:val="002255B4"/>
    <w:rsid w:val="00243014"/>
    <w:rsid w:val="00251312"/>
    <w:rsid w:val="002721B9"/>
    <w:rsid w:val="00293F6D"/>
    <w:rsid w:val="002A4154"/>
    <w:rsid w:val="00314435"/>
    <w:rsid w:val="0032050A"/>
    <w:rsid w:val="003446A9"/>
    <w:rsid w:val="00350931"/>
    <w:rsid w:val="00364BEA"/>
    <w:rsid w:val="00385DD3"/>
    <w:rsid w:val="00393FCB"/>
    <w:rsid w:val="003B60B3"/>
    <w:rsid w:val="004536CF"/>
    <w:rsid w:val="00457A65"/>
    <w:rsid w:val="004A69AC"/>
    <w:rsid w:val="004C5C50"/>
    <w:rsid w:val="005367A0"/>
    <w:rsid w:val="00553FBE"/>
    <w:rsid w:val="005B7342"/>
    <w:rsid w:val="005C2412"/>
    <w:rsid w:val="005C7EED"/>
    <w:rsid w:val="005F67FC"/>
    <w:rsid w:val="00620102"/>
    <w:rsid w:val="00652890"/>
    <w:rsid w:val="00664602"/>
    <w:rsid w:val="00697899"/>
    <w:rsid w:val="006A12DF"/>
    <w:rsid w:val="00712759"/>
    <w:rsid w:val="0072359A"/>
    <w:rsid w:val="00725A55"/>
    <w:rsid w:val="00747339"/>
    <w:rsid w:val="00755AC4"/>
    <w:rsid w:val="0077337E"/>
    <w:rsid w:val="00782E09"/>
    <w:rsid w:val="007A1C90"/>
    <w:rsid w:val="007B626F"/>
    <w:rsid w:val="007B7A97"/>
    <w:rsid w:val="007E0D15"/>
    <w:rsid w:val="00834805"/>
    <w:rsid w:val="0088152B"/>
    <w:rsid w:val="008A7251"/>
    <w:rsid w:val="008B253F"/>
    <w:rsid w:val="008B2631"/>
    <w:rsid w:val="008C268C"/>
    <w:rsid w:val="00921E0B"/>
    <w:rsid w:val="009512C3"/>
    <w:rsid w:val="00986E19"/>
    <w:rsid w:val="00995E1C"/>
    <w:rsid w:val="009A7997"/>
    <w:rsid w:val="009B0831"/>
    <w:rsid w:val="009B0D6C"/>
    <w:rsid w:val="009B2415"/>
    <w:rsid w:val="009C0F5B"/>
    <w:rsid w:val="00A21563"/>
    <w:rsid w:val="00A23272"/>
    <w:rsid w:val="00A661DA"/>
    <w:rsid w:val="00A66A74"/>
    <w:rsid w:val="00A73501"/>
    <w:rsid w:val="00A755D4"/>
    <w:rsid w:val="00A82926"/>
    <w:rsid w:val="00AC6938"/>
    <w:rsid w:val="00B110B7"/>
    <w:rsid w:val="00B30F54"/>
    <w:rsid w:val="00B33A01"/>
    <w:rsid w:val="00B50C0E"/>
    <w:rsid w:val="00B75669"/>
    <w:rsid w:val="00B82CF0"/>
    <w:rsid w:val="00B840A8"/>
    <w:rsid w:val="00B93503"/>
    <w:rsid w:val="00BB3A21"/>
    <w:rsid w:val="00BB7EED"/>
    <w:rsid w:val="00BE4225"/>
    <w:rsid w:val="00BF3DAB"/>
    <w:rsid w:val="00BF70F0"/>
    <w:rsid w:val="00C256E4"/>
    <w:rsid w:val="00C37AAA"/>
    <w:rsid w:val="00C43FBB"/>
    <w:rsid w:val="00C53300"/>
    <w:rsid w:val="00CB1237"/>
    <w:rsid w:val="00CB5005"/>
    <w:rsid w:val="00CD4CA2"/>
    <w:rsid w:val="00D1736C"/>
    <w:rsid w:val="00D257A7"/>
    <w:rsid w:val="00D36B1C"/>
    <w:rsid w:val="00D450F8"/>
    <w:rsid w:val="00D50442"/>
    <w:rsid w:val="00D62A68"/>
    <w:rsid w:val="00D62AF5"/>
    <w:rsid w:val="00D70113"/>
    <w:rsid w:val="00D837B9"/>
    <w:rsid w:val="00D8460F"/>
    <w:rsid w:val="00DD22C1"/>
    <w:rsid w:val="00DF0322"/>
    <w:rsid w:val="00DF2EDE"/>
    <w:rsid w:val="00E13E1A"/>
    <w:rsid w:val="00E17B8F"/>
    <w:rsid w:val="00E35CE3"/>
    <w:rsid w:val="00E7052D"/>
    <w:rsid w:val="00EA2297"/>
    <w:rsid w:val="00EA40DB"/>
    <w:rsid w:val="00EB5D23"/>
    <w:rsid w:val="00EC372A"/>
    <w:rsid w:val="00EC4417"/>
    <w:rsid w:val="00EC5DAE"/>
    <w:rsid w:val="00EE4294"/>
    <w:rsid w:val="00EE7A16"/>
    <w:rsid w:val="00EF3D03"/>
    <w:rsid w:val="00F123BB"/>
    <w:rsid w:val="00F17297"/>
    <w:rsid w:val="00F3170F"/>
    <w:rsid w:val="00F36D5E"/>
    <w:rsid w:val="00F36EE5"/>
    <w:rsid w:val="00F41F10"/>
    <w:rsid w:val="00FF1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D7B93"/>
  <w15:chartTrackingRefBased/>
  <w15:docId w15:val="{B3E66E98-45E8-43D4-957C-1DEC865B9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978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link w:val="Nadpis1Char"/>
    <w:qFormat/>
    <w:rsid w:val="007B626F"/>
    <w:pPr>
      <w:keepNext/>
      <w:numPr>
        <w:numId w:val="8"/>
      </w:numPr>
      <w:spacing w:before="120"/>
      <w:outlineLvl w:val="0"/>
    </w:pPr>
    <w:rPr>
      <w:rFonts w:ascii="Arial" w:hAnsi="Arial" w:cs="Arial"/>
      <w:b/>
      <w:caps/>
      <w:sz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62A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5">
    <w:name w:val="heading 5"/>
    <w:basedOn w:val="Normln"/>
    <w:link w:val="Nadpis5Char"/>
    <w:qFormat/>
    <w:rsid w:val="007B626F"/>
    <w:pPr>
      <w:keepNext/>
      <w:tabs>
        <w:tab w:val="left" w:pos="432"/>
      </w:tabs>
      <w:spacing w:before="120"/>
      <w:ind w:left="432" w:hanging="432"/>
      <w:outlineLvl w:val="4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qFormat/>
    <w:rsid w:val="007B626F"/>
    <w:rPr>
      <w:rFonts w:ascii="Arial" w:eastAsia="Times New Roman" w:hAnsi="Arial" w:cs="Arial"/>
      <w:b/>
      <w:caps/>
      <w:sz w:val="32"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7B626F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Internetovodkaz">
    <w:name w:val="Internetový odkaz"/>
    <w:rsid w:val="007B626F"/>
    <w:rPr>
      <w:color w:val="0000FF"/>
      <w:u w:val="single"/>
    </w:rPr>
  </w:style>
  <w:style w:type="character" w:styleId="Siln">
    <w:name w:val="Strong"/>
    <w:uiPriority w:val="22"/>
    <w:qFormat/>
    <w:rsid w:val="007B626F"/>
    <w:rPr>
      <w:b/>
      <w:bCs/>
    </w:rPr>
  </w:style>
  <w:style w:type="character" w:styleId="Odkaznakoment">
    <w:name w:val="annotation reference"/>
    <w:semiHidden/>
    <w:qFormat/>
    <w:rsid w:val="007B626F"/>
    <w:rPr>
      <w:sz w:val="16"/>
      <w:szCs w:val="16"/>
    </w:rPr>
  </w:style>
  <w:style w:type="character" w:customStyle="1" w:styleId="ZhlavChar">
    <w:name w:val="Záhlaví Char"/>
    <w:link w:val="Zhlav"/>
    <w:uiPriority w:val="99"/>
    <w:qFormat/>
    <w:rsid w:val="007B626F"/>
    <w:rPr>
      <w:lang w:eastAsia="ar-SA"/>
    </w:rPr>
  </w:style>
  <w:style w:type="paragraph" w:styleId="Zkladntext">
    <w:name w:val="Body Text"/>
    <w:basedOn w:val="Normln"/>
    <w:link w:val="ZkladntextChar"/>
    <w:rsid w:val="007B626F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7B626F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paragraph" w:styleId="Zpat">
    <w:name w:val="footer"/>
    <w:basedOn w:val="Normln"/>
    <w:link w:val="ZpatChar"/>
    <w:rsid w:val="007B62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B626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Obsah1">
    <w:name w:val="toc 1"/>
    <w:basedOn w:val="Normln"/>
    <w:rsid w:val="007B626F"/>
    <w:pPr>
      <w:jc w:val="both"/>
    </w:pPr>
    <w:rPr>
      <w:rFonts w:ascii="Arial" w:hAnsi="Arial" w:cs="Arial"/>
      <w:sz w:val="24"/>
    </w:rPr>
  </w:style>
  <w:style w:type="paragraph" w:styleId="Zhlav">
    <w:name w:val="header"/>
    <w:basedOn w:val="Normln"/>
    <w:link w:val="ZhlavChar"/>
    <w:uiPriority w:val="99"/>
    <w:rsid w:val="007B626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1">
    <w:name w:val="Záhlaví Char1"/>
    <w:basedOn w:val="Standardnpsmoodstavce"/>
    <w:uiPriority w:val="99"/>
    <w:semiHidden/>
    <w:rsid w:val="007B626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lnweb">
    <w:name w:val="Normal (Web)"/>
    <w:basedOn w:val="Normln"/>
    <w:qFormat/>
    <w:rsid w:val="007B626F"/>
    <w:pP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ln0">
    <w:name w:val="Normální~"/>
    <w:basedOn w:val="Normln"/>
    <w:qFormat/>
    <w:rsid w:val="007B626F"/>
    <w:pPr>
      <w:widowControl w:val="0"/>
    </w:pPr>
    <w:rPr>
      <w:sz w:val="24"/>
    </w:rPr>
  </w:style>
  <w:style w:type="paragraph" w:customStyle="1" w:styleId="Textodstavce">
    <w:name w:val="Text odstavce"/>
    <w:basedOn w:val="Normln"/>
    <w:qFormat/>
    <w:rsid w:val="007B626F"/>
    <w:pPr>
      <w:tabs>
        <w:tab w:val="left" w:pos="851"/>
      </w:tabs>
      <w:spacing w:before="120" w:after="120"/>
      <w:jc w:val="both"/>
    </w:pPr>
    <w:rPr>
      <w:sz w:val="24"/>
    </w:rPr>
  </w:style>
  <w:style w:type="paragraph" w:customStyle="1" w:styleId="text">
    <w:name w:val="text"/>
    <w:qFormat/>
    <w:rsid w:val="007B626F"/>
    <w:pPr>
      <w:widowControl w:val="0"/>
      <w:suppressAutoHyphens/>
      <w:spacing w:before="240" w:after="0" w:line="240" w:lineRule="exact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7B626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Zkladntext2">
    <w:name w:val="Body Text 2"/>
    <w:basedOn w:val="Normln"/>
    <w:link w:val="Zkladntext2Char"/>
    <w:qFormat/>
    <w:rsid w:val="007B626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7B626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semiHidden/>
    <w:qFormat/>
    <w:rsid w:val="007B626F"/>
  </w:style>
  <w:style w:type="character" w:customStyle="1" w:styleId="TextkomenteChar">
    <w:name w:val="Text komentáře Char"/>
    <w:basedOn w:val="Standardnpsmoodstavce"/>
    <w:link w:val="Textkomente"/>
    <w:semiHidden/>
    <w:rsid w:val="007B626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qFormat/>
    <w:rsid w:val="007B626F"/>
    <w:pPr>
      <w:widowControl w:val="0"/>
      <w:suppressAutoHyphens/>
      <w:spacing w:after="0" w:line="240" w:lineRule="auto"/>
      <w:textAlignment w:val="baseline"/>
    </w:pPr>
    <w:rPr>
      <w:rFonts w:ascii="Liberation Serif" w:eastAsia="Droid Sans" w:hAnsi="Liberation Serif" w:cs="Lohit Hindi"/>
      <w:kern w:val="2"/>
      <w:sz w:val="24"/>
      <w:szCs w:val="24"/>
      <w:lang w:eastAsia="zh-CN" w:bidi="hi-IN"/>
    </w:rPr>
  </w:style>
  <w:style w:type="paragraph" w:customStyle="1" w:styleId="Bodsmlouvy-211">
    <w:name w:val="Bod smlouvy - 2.1.1"/>
    <w:basedOn w:val="Normln"/>
    <w:qFormat/>
    <w:rsid w:val="007B626F"/>
    <w:pPr>
      <w:tabs>
        <w:tab w:val="left" w:pos="360"/>
        <w:tab w:val="left" w:pos="1134"/>
        <w:tab w:val="right" w:pos="9356"/>
      </w:tabs>
      <w:suppressAutoHyphens w:val="0"/>
      <w:spacing w:after="60"/>
      <w:ind w:left="360" w:hanging="360"/>
      <w:jc w:val="both"/>
      <w:outlineLvl w:val="2"/>
    </w:pPr>
    <w:rPr>
      <w:color w:val="000000"/>
      <w:sz w:val="22"/>
      <w:lang w:eastAsia="cs-CZ"/>
    </w:rPr>
  </w:style>
  <w:style w:type="character" w:styleId="Hypertextovodkaz">
    <w:name w:val="Hyperlink"/>
    <w:rsid w:val="007B626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26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26F"/>
    <w:rPr>
      <w:rFonts w:ascii="Segoe UI" w:eastAsia="Times New Roman" w:hAnsi="Segoe UI" w:cs="Segoe UI"/>
      <w:sz w:val="18"/>
      <w:szCs w:val="18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62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626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EA2297"/>
    <w:rPr>
      <w:color w:val="954F72" w:themeColor="followedHyperlink"/>
      <w:u w:val="single"/>
    </w:rPr>
  </w:style>
  <w:style w:type="character" w:customStyle="1" w:styleId="value">
    <w:name w:val="value"/>
    <w:basedOn w:val="Standardnpsmoodstavce"/>
    <w:rsid w:val="00213A3C"/>
  </w:style>
  <w:style w:type="character" w:customStyle="1" w:styleId="Nadpis3Char">
    <w:name w:val="Nadpis 3 Char"/>
    <w:basedOn w:val="Standardnpsmoodstavce"/>
    <w:link w:val="Nadpis3"/>
    <w:uiPriority w:val="9"/>
    <w:semiHidden/>
    <w:rsid w:val="00D62AF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AC6938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C6938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0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35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6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159980">
          <w:marLeft w:val="0"/>
          <w:marRight w:val="0"/>
          <w:marTop w:val="0"/>
          <w:marBottom w:val="0"/>
          <w:divBdr>
            <w:top w:val="single" w:sz="6" w:space="5" w:color="D2D2D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98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55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4503209">
          <w:marLeft w:val="0"/>
          <w:marRight w:val="0"/>
          <w:marTop w:val="0"/>
          <w:marBottom w:val="0"/>
          <w:divBdr>
            <w:top w:val="single" w:sz="6" w:space="5" w:color="D2D2D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47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8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74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3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64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</w:div>
          </w:divsChild>
        </w:div>
      </w:divsChild>
    </w:div>
    <w:div w:id="8508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8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874032">
              <w:marLeft w:val="0"/>
              <w:marRight w:val="0"/>
              <w:marTop w:val="0"/>
              <w:marBottom w:val="0"/>
              <w:divBdr>
                <w:top w:val="single" w:sz="6" w:space="5" w:color="D2D2D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9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67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1042880">
              <w:marLeft w:val="0"/>
              <w:marRight w:val="0"/>
              <w:marTop w:val="0"/>
              <w:marBottom w:val="0"/>
              <w:divBdr>
                <w:top w:val="single" w:sz="6" w:space="5" w:color="D2D2D2"/>
                <w:left w:val="none" w:sz="0" w:space="0" w:color="auto"/>
                <w:bottom w:val="single" w:sz="6" w:space="5" w:color="D2D2D2"/>
                <w:right w:val="none" w:sz="0" w:space="0" w:color="auto"/>
              </w:divBdr>
              <w:divsChild>
                <w:div w:id="153808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9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77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859016">
              <w:marLeft w:val="0"/>
              <w:marRight w:val="0"/>
              <w:marTop w:val="0"/>
              <w:marBottom w:val="0"/>
              <w:divBdr>
                <w:top w:val="single" w:sz="6" w:space="5" w:color="D2D2D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02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87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otted" w:sz="6" w:space="0" w:color="000000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4804157">
              <w:marLeft w:val="0"/>
              <w:marRight w:val="0"/>
              <w:marTop w:val="0"/>
              <w:marBottom w:val="0"/>
              <w:divBdr>
                <w:top w:val="single" w:sz="6" w:space="5" w:color="D2D2D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78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03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7596908">
              <w:marLeft w:val="0"/>
              <w:marRight w:val="0"/>
              <w:marTop w:val="0"/>
              <w:marBottom w:val="0"/>
              <w:divBdr>
                <w:top w:val="single" w:sz="6" w:space="5" w:color="D2D2D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45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99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5709554">
              <w:marLeft w:val="0"/>
              <w:marRight w:val="0"/>
              <w:marTop w:val="0"/>
              <w:marBottom w:val="0"/>
              <w:divBdr>
                <w:top w:val="single" w:sz="6" w:space="5" w:color="D2D2D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04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633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otted" w:sz="6" w:space="0" w:color="000000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06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2101">
          <w:marLeft w:val="0"/>
          <w:marRight w:val="0"/>
          <w:marTop w:val="0"/>
          <w:marBottom w:val="0"/>
          <w:divBdr>
            <w:top w:val="single" w:sz="6" w:space="5" w:color="D2D2D2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11142">
          <w:marLeft w:val="0"/>
          <w:marRight w:val="0"/>
          <w:marTop w:val="0"/>
          <w:marBottom w:val="0"/>
          <w:divBdr>
            <w:top w:val="single" w:sz="6" w:space="5" w:color="D2D2D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0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82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715784832">
          <w:marLeft w:val="0"/>
          <w:marRight w:val="0"/>
          <w:marTop w:val="0"/>
          <w:marBottom w:val="0"/>
          <w:divBdr>
            <w:top w:val="single" w:sz="6" w:space="5" w:color="D2D2D2"/>
            <w:left w:val="none" w:sz="0" w:space="0" w:color="auto"/>
            <w:bottom w:val="single" w:sz="6" w:space="5" w:color="D2D2D2"/>
            <w:right w:val="none" w:sz="0" w:space="0" w:color="auto"/>
          </w:divBdr>
          <w:divsChild>
            <w:div w:id="50498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01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1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57852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65D0376FE46D4F8D3815BEE1A21426" ma:contentTypeVersion="10" ma:contentTypeDescription="Vytvoří nový dokument" ma:contentTypeScope="" ma:versionID="2b92941c511f6f6214f71505c2895d34">
  <xsd:schema xmlns:xsd="http://www.w3.org/2001/XMLSchema" xmlns:xs="http://www.w3.org/2001/XMLSchema" xmlns:p="http://schemas.microsoft.com/office/2006/metadata/properties" xmlns:ns2="ecf221be-9c15-4d0f-b9b4-e75a55c35c32" targetNamespace="http://schemas.microsoft.com/office/2006/metadata/properties" ma:root="true" ma:fieldsID="59297fecb96b204014f929a5cff5c2f9" ns2:_="">
    <xsd:import namespace="ecf221be-9c15-4d0f-b9b4-e75a55c35c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f221be-9c15-4d0f-b9b4-e75a55c35c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6A94C0-3084-4404-8450-F66FDF5797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f221be-9c15-4d0f-b9b4-e75a55c35c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F9AE07-38D0-4C61-BB1A-A453889F1B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5497FD-D322-4F4C-A985-E20DC6EF43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8</Pages>
  <Words>2410</Words>
  <Characters>14220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Palova</dc:creator>
  <cp:keywords/>
  <dc:description/>
  <cp:lastModifiedBy>Lucie Fialová</cp:lastModifiedBy>
  <cp:revision>15</cp:revision>
  <dcterms:created xsi:type="dcterms:W3CDTF">2023-08-14T06:45:00Z</dcterms:created>
  <dcterms:modified xsi:type="dcterms:W3CDTF">2023-09-18T05:11:00Z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0x0101004465D0376FE46D4F8D3815BEE1A21426</vt:lpwstr>
  </property>
</Properties>
</file>