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5033D" w14:textId="3ADF3BB5" w:rsidR="00E663D0" w:rsidRDefault="006D6466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Příloha soupisu stavebních prací, dodávek a služeb s výkazem </w:t>
      </w:r>
      <w:r w:rsidR="00E663D0">
        <w:rPr>
          <w:rFonts w:ascii="Liberation Sans" w:hAnsi="Liberation Sans" w:cstheme="minorHAnsi"/>
          <w:b/>
          <w:bCs/>
          <w:color w:val="000000"/>
          <w:sz w:val="20"/>
          <w:szCs w:val="20"/>
        </w:rPr>
        <w:t>výměr</w:t>
      </w:r>
    </w:p>
    <w:p w14:paraId="5A03B427" w14:textId="77777777" w:rsidR="00E663D0" w:rsidRDefault="00E663D0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17562691" w14:textId="1EFB4049" w:rsidR="006D6466" w:rsidRDefault="006D6466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Podrobná </w:t>
      </w:r>
      <w:r w:rsidR="00E663D0"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technická </w:t>
      </w:r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specifikace položky </w:t>
      </w:r>
      <w:r w:rsidR="00534D4F">
        <w:rPr>
          <w:rFonts w:ascii="Liberation Sans" w:hAnsi="Liberation Sans" w:cstheme="minorHAnsi"/>
          <w:b/>
          <w:bCs/>
          <w:color w:val="000000"/>
          <w:sz w:val="20"/>
          <w:szCs w:val="20"/>
        </w:rPr>
        <w:t>Switch L3 24x 10/100/1000Mbit/s RJ-45, 4x SFP+</w:t>
      </w:r>
    </w:p>
    <w:p w14:paraId="4491F659" w14:textId="382EDF8B" w:rsidR="006D6466" w:rsidRPr="00E663D0" w:rsidRDefault="006D6466" w:rsidP="006D6466">
      <w:pPr>
        <w:pStyle w:val="Prosttext"/>
        <w:spacing w:before="360" w:after="120" w:line="276" w:lineRule="auto"/>
        <w:jc w:val="both"/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</w:pPr>
      <w:r w:rsidRP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>Dodán</w:t>
      </w:r>
      <w:r w:rsid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>o</w:t>
      </w:r>
      <w:r w:rsidRP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 xml:space="preserve"> bude </w:t>
      </w:r>
      <w:r w:rsid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 xml:space="preserve">plnění </w:t>
      </w:r>
      <w:r w:rsidRP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>s následující základní identifikací: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4673"/>
        <w:gridCol w:w="2126"/>
        <w:gridCol w:w="3828"/>
      </w:tblGrid>
      <w:tr w:rsidR="006D6466" w:rsidRPr="00E663D0" w14:paraId="0F3B422B" w14:textId="77777777" w:rsidTr="006D6466">
        <w:trPr>
          <w:cantSplit/>
          <w:trHeight w:val="567"/>
          <w:tblHeader/>
          <w:jc w:val="center"/>
        </w:trPr>
        <w:tc>
          <w:tcPr>
            <w:tcW w:w="4673" w:type="dxa"/>
            <w:shd w:val="clear" w:color="auto" w:fill="B8CCE4" w:themeFill="accent1" w:themeFillTint="66"/>
            <w:vAlign w:val="center"/>
          </w:tcPr>
          <w:p w14:paraId="2EA499DC" w14:textId="63358693" w:rsidR="006D6466" w:rsidRPr="00E663D0" w:rsidRDefault="00E663D0" w:rsidP="005D47BF">
            <w:pPr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  <w:t>s</w:t>
            </w:r>
            <w:r w:rsidR="006D6466" w:rsidRPr="00E663D0"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  <w:t>witch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7BAF6B7A" w14:textId="77777777" w:rsidR="006D6466" w:rsidRPr="00E663D0" w:rsidRDefault="006D6466" w:rsidP="005D47BF">
            <w:pPr>
              <w:ind w:left="-56"/>
              <w:jc w:val="center"/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</w:pPr>
            <w:r w:rsidRPr="00E663D0"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  <w:t>výrobce</w:t>
            </w:r>
          </w:p>
        </w:tc>
        <w:tc>
          <w:tcPr>
            <w:tcW w:w="3828" w:type="dxa"/>
            <w:shd w:val="clear" w:color="auto" w:fill="B8CCE4" w:themeFill="accent1" w:themeFillTint="66"/>
            <w:vAlign w:val="center"/>
          </w:tcPr>
          <w:p w14:paraId="13BB305E" w14:textId="77777777" w:rsidR="006D6466" w:rsidRPr="00E663D0" w:rsidRDefault="006D6466" w:rsidP="005D47BF">
            <w:pPr>
              <w:ind w:left="-107"/>
              <w:jc w:val="center"/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</w:pPr>
            <w:r w:rsidRPr="00E663D0"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  <w:t>typové označení</w:t>
            </w:r>
          </w:p>
        </w:tc>
      </w:tr>
      <w:tr w:rsidR="006D6466" w:rsidRPr="002B724D" w14:paraId="5B808242" w14:textId="77777777" w:rsidTr="00E663D0">
        <w:trPr>
          <w:cantSplit/>
          <w:trHeight w:val="567"/>
          <w:tblHeader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6F66320D" w14:textId="1B9EDA71" w:rsidR="006D6466" w:rsidRPr="006D6466" w:rsidRDefault="00E663D0" w:rsidP="006D6466">
            <w:pPr>
              <w:spacing w:after="0"/>
              <w:rPr>
                <w:rFonts w:ascii="Liberation Sans" w:eastAsia="Times New Roman" w:hAnsi="Liberation Sans" w:cstheme="minorHAnsi"/>
                <w:color w:val="00000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lang w:eastAsia="cs-CZ"/>
              </w:rPr>
              <w:t>s</w:t>
            </w:r>
            <w:r w:rsidR="006D6466" w:rsidRPr="006D6466">
              <w:rPr>
                <w:rFonts w:ascii="Liberation Sans" w:eastAsia="Times New Roman" w:hAnsi="Liberation Sans" w:cstheme="minorHAnsi"/>
                <w:color w:val="000000"/>
                <w:lang w:eastAsia="cs-CZ"/>
              </w:rPr>
              <w:t>witch L3 24x 10/100/1000Mbit/s RJ-45, 4x SFP+</w:t>
            </w:r>
          </w:p>
        </w:tc>
        <w:tc>
          <w:tcPr>
            <w:tcW w:w="2126" w:type="dxa"/>
            <w:shd w:val="clear" w:color="auto" w:fill="FFFF00"/>
            <w:vAlign w:val="center"/>
          </w:tcPr>
          <w:p w14:paraId="3E9B1309" w14:textId="1EF8AF4E" w:rsidR="006D6466" w:rsidRPr="006D6466" w:rsidRDefault="00E663D0" w:rsidP="006D6466">
            <w:pPr>
              <w:spacing w:after="0"/>
              <w:ind w:left="-56"/>
              <w:jc w:val="center"/>
              <w:rPr>
                <w:rFonts w:ascii="Liberation Sans" w:eastAsia="Times New Roman" w:hAnsi="Liberation Sans" w:cstheme="minorHAnsi"/>
                <w:color w:val="000000"/>
                <w:highlight w:val="yellow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highlight w:val="yellow"/>
                <w:lang w:eastAsia="cs-CZ"/>
              </w:rPr>
              <w:t>doplní dodavatel</w:t>
            </w:r>
          </w:p>
        </w:tc>
        <w:tc>
          <w:tcPr>
            <w:tcW w:w="3828" w:type="dxa"/>
            <w:shd w:val="clear" w:color="auto" w:fill="FFFF00"/>
            <w:vAlign w:val="center"/>
          </w:tcPr>
          <w:p w14:paraId="5E3612EA" w14:textId="090E56D0" w:rsidR="006D6466" w:rsidRPr="006D6466" w:rsidRDefault="00E663D0" w:rsidP="006D6466">
            <w:pPr>
              <w:spacing w:after="0"/>
              <w:ind w:left="-107"/>
              <w:jc w:val="center"/>
              <w:rPr>
                <w:rFonts w:ascii="Liberation Sans" w:eastAsia="Times New Roman" w:hAnsi="Liberation Sans" w:cstheme="minorHAnsi"/>
                <w:color w:val="000000"/>
                <w:highlight w:val="yellow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highlight w:val="yellow"/>
                <w:lang w:eastAsia="cs-CZ"/>
              </w:rPr>
              <w:t>doplní dodavatel</w:t>
            </w:r>
          </w:p>
        </w:tc>
      </w:tr>
    </w:tbl>
    <w:p w14:paraId="5B43E2B3" w14:textId="071D0E9F" w:rsidR="006D6466" w:rsidRDefault="006D6466">
      <w:pPr>
        <w:pStyle w:val="Bezmezer"/>
        <w:rPr>
          <w:rFonts w:ascii="Liberation Sans" w:hAnsi="Liberation Sans"/>
          <w:color w:val="000000"/>
        </w:rPr>
      </w:pPr>
    </w:p>
    <w:p w14:paraId="00C68C62" w14:textId="77777777" w:rsidR="006D6466" w:rsidRDefault="006D6466">
      <w:pPr>
        <w:pStyle w:val="Bezmezer"/>
        <w:rPr>
          <w:rFonts w:ascii="Liberation Sans" w:hAnsi="Liberation Sans"/>
          <w:color w:val="000000"/>
        </w:rPr>
      </w:pPr>
    </w:p>
    <w:p w14:paraId="0C7C8E0A" w14:textId="77777777" w:rsidR="006D6466" w:rsidRPr="00E663D0" w:rsidRDefault="006D6466" w:rsidP="006D6466">
      <w:pPr>
        <w:pStyle w:val="Prosttext"/>
        <w:spacing w:after="120" w:line="276" w:lineRule="auto"/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</w:pPr>
      <w:r w:rsidRPr="00E663D0">
        <w:rPr>
          <w:rFonts w:ascii="Liberation Sans" w:eastAsia="Times New Roman" w:hAnsi="Liberation Sans" w:cstheme="minorHAnsi"/>
          <w:color w:val="000000"/>
          <w:sz w:val="20"/>
          <w:szCs w:val="20"/>
          <w:lang w:eastAsia="cs-CZ"/>
        </w:rPr>
        <w:t>Nabízené a dodané plnění musí splňovat níže uvedené technické podmínky:</w:t>
      </w:r>
    </w:p>
    <w:tbl>
      <w:tblPr>
        <w:tblW w:w="492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5"/>
        <w:gridCol w:w="1701"/>
      </w:tblGrid>
      <w:tr w:rsidR="00E663D0" w:rsidRPr="00E663D0" w14:paraId="4D496437" w14:textId="77777777" w:rsidTr="00E663D0">
        <w:trPr>
          <w:trHeight w:val="288"/>
          <w:tblHeader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C0679BA" w14:textId="7BCDD87E" w:rsidR="00E663D0" w:rsidRPr="00E663D0" w:rsidRDefault="00E663D0" w:rsidP="00E663D0">
            <w:pPr>
              <w:suppressAutoHyphens w:val="0"/>
              <w:spacing w:after="0"/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b/>
                <w:color w:val="000000"/>
                <w:sz w:val="20"/>
                <w:szCs w:val="20"/>
                <w:lang w:eastAsia="cs-CZ"/>
              </w:rPr>
              <w:t>technická podmínka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399C5E2" w14:textId="79A9BFD0" w:rsidR="00E663D0" w:rsidRPr="00E663D0" w:rsidRDefault="00E663D0" w:rsidP="00E663D0">
            <w:pPr>
              <w:spacing w:after="0"/>
              <w:rPr>
                <w:rFonts w:ascii="Liberation Sans" w:eastAsia="Times New Roman" w:hAnsi="Liberation Sans" w:cstheme="minorHAnsi"/>
                <w:b/>
                <w:color w:val="00000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b/>
                <w:color w:val="000000"/>
                <w:sz w:val="20"/>
                <w:szCs w:val="20"/>
                <w:lang w:eastAsia="cs-CZ"/>
              </w:rPr>
              <w:t>s</w:t>
            </w:r>
            <w:r w:rsidRPr="00E663D0">
              <w:rPr>
                <w:rFonts w:ascii="Liberation Sans" w:eastAsia="Times New Roman" w:hAnsi="Liberation Sans" w:cstheme="minorHAnsi"/>
                <w:b/>
                <w:color w:val="000000"/>
                <w:sz w:val="20"/>
                <w:szCs w:val="20"/>
                <w:lang w:eastAsia="cs-CZ"/>
              </w:rPr>
              <w:t>plnění podmínky dodavatelem</w:t>
            </w:r>
            <w:r w:rsidRPr="00E663D0">
              <w:rPr>
                <w:vertAlign w:val="superscript"/>
              </w:rPr>
              <w:footnoteReference w:id="1"/>
            </w:r>
          </w:p>
        </w:tc>
      </w:tr>
      <w:tr w:rsidR="00E663D0" w14:paraId="50D40CC4" w14:textId="77777777" w:rsidTr="00B946C6">
        <w:trPr>
          <w:trHeight w:val="288"/>
          <w:jc w:val="center"/>
        </w:trPr>
        <w:tc>
          <w:tcPr>
            <w:tcW w:w="10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CFA1D" w14:textId="6D3E5B2E" w:rsidR="00E663D0" w:rsidRPr="006D6466" w:rsidRDefault="00E663D0" w:rsidP="00E663D0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</w:tr>
      <w:tr w:rsidR="00E663D0" w14:paraId="0D8F9A4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A9A0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A3F6843" w14:textId="4C175574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D7D5123" w14:textId="77777777" w:rsidTr="00E663D0">
        <w:trPr>
          <w:trHeight w:val="287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E314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2AA809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4912B0A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E8CD3" w14:textId="2E37C571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 xml:space="preserve">: min.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24x RJ45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855EC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F18799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146C" w14:textId="4397A422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10Gbit/s SFP+ nezávislých optických portů s volitelným fyzickým rozhraním</w:t>
            </w:r>
            <w:r w:rsidRPr="00C3313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4x SFP+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744218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9A4DAA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DA51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23295A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5DAE32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4F31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Energy Efficient Ethernet (802.3az)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98BEC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295197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A394B" w14:textId="25159DB9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Přepínací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 xml:space="preserve">: min.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128 Gbps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995601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81CDB3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FD242" w14:textId="73206E71" w:rsidR="00E663D0" w:rsidRDefault="00E663D0" w:rsidP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Paketový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 xml:space="preserve">: min.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95 Mpps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E35AB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9C670F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22BD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F3CB2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B04079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8719F" w14:textId="14D5EED3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Maximální hloubka přepínače: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31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64BF508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:rsidRPr="00E663D0" w14:paraId="30066460" w14:textId="77777777" w:rsidTr="00A42A40">
        <w:trPr>
          <w:trHeight w:val="288"/>
          <w:jc w:val="center"/>
        </w:trPr>
        <w:tc>
          <w:tcPr>
            <w:tcW w:w="10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A07B4" w14:textId="1043C94B" w:rsidR="00E663D0" w:rsidRPr="00E663D0" w:rsidRDefault="00E663D0" w:rsidP="00E663D0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663D0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</w:tr>
      <w:tr w:rsidR="00E663D0" w14:paraId="71D6047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5848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FDDB6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5ED966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512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Kapacita stohovacího propojení: 80 Gbps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EF0708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76BE62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F8E62" w14:textId="13C23E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podporuje distribuované přepínání paketů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D6DC6A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9A0E1E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8C04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stohu na delší vzdálenost minimálně 100m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4008D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9EF398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7FA3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F2212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58E869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A24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9657D8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962841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EBB68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19D08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7E5A9DA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262A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C223D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F499823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1D34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67342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2A3CE9A" w14:textId="77777777" w:rsidTr="00E663D0">
        <w:trPr>
          <w:trHeight w:val="288"/>
          <w:jc w:val="center"/>
        </w:trPr>
        <w:tc>
          <w:tcPr>
            <w:tcW w:w="8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E3ED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Součástí dodávky přepínače je stohovací kabel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563042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22880F2" w14:textId="77777777" w:rsidTr="006D2BD2">
        <w:trPr>
          <w:trHeight w:val="288"/>
          <w:jc w:val="center"/>
        </w:trPr>
        <w:tc>
          <w:tcPr>
            <w:tcW w:w="10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D88DE" w14:textId="512D414E" w:rsidR="00E663D0" w:rsidRPr="006D6466" w:rsidRDefault="00E663D0" w:rsidP="00E663D0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sz w:val="20"/>
                <w:szCs w:val="20"/>
                <w:lang w:eastAsia="cs-CZ"/>
              </w:rPr>
              <w:lastRenderedPageBreak/>
              <w:t>Funkce a protokoly</w:t>
            </w:r>
          </w:p>
        </w:tc>
      </w:tr>
      <w:tr w:rsidR="00E663D0" w14:paraId="2D28249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784A8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015509" w14:textId="580D97CF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52F22A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0AB7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AD6CC" w14:textId="1C85B552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2A4B85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24D7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03D81A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ED15E3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1C4E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C44D2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A26E7E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9080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LACP Fallback (např. pro PXE boot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934766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53D301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B463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AB6789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BCCCC7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9D5A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90384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385176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C0F8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84F3A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423A98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099C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Minimálně 2000 aktivních VLAN podle IEEE 802.1Q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48BA67" w14:textId="5089CB74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370145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A9A8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A7CCF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6BECFA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C97FA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VLAN translace - swap 802.1Q tagů na trunk portu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AE88B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1F050F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051D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BE9894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9B2C6D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FD0F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Private VLAN včetně primary, secondary a community VLAN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7940A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1E0CE0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34DC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VLAN-group pro rozkládání klientů přes více VLAN ID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FAF04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4DC679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BB9B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IEEE 802.1s - Multiple Spanning Tree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CDD11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A548BCA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F7AE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7ADBF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D24D4E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372B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Detekce protilehlého zařízení pomocí LLDP, včetně LLDP over OoB management 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B48A26" w14:textId="514EF19D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0C89B0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8A0E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071BF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DD3138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08CF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7F5B0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5B26F8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1C81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DHCP server a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relay pro IPv4 a IPv6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53536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EBE244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E60B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D7EA649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35199E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25EA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Funkce mDNS brány pro distribuci a filtraci multicast služeb napříč IP subnety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B2396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BF3C9F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94F0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L3 routed port a IP unnumbered interface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F27809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728C60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A4C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39601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907AA1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1A25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4B258D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FFF5EA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4263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94FEC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5E5D8C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E18C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Dynamické směrování: RIP, RIPng, OSPFv2 včetně HMAC</w:t>
            </w:r>
            <w:r w:rsidRPr="00C3313B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-SHA-384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FE2BD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F805AD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9870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police based routing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A42609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91DA6E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F01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9D8B17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173C8F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E96C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route map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72F02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CFD6F4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22398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8179D6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1D2644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3A78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IGMP v2 a v3, IGMP snooping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6A447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790FA0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E9F3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MLD v1 a v2, MLD snooping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EE2A2EB" w14:textId="5C97F105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E6DA2D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EA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Směrování multicast: PIM-DM, PIM-SM, PIM-BIDIR, IPv6 PIM-SM, PIM-SSM, IPv6 PIM-SSM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4C0BC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E43FD5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D1D7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Hardware podpora IPv4 a IPv6 ACL včetně podpory object group pro IP adresy a porty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88E19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09504A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B644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B5F42D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088A6F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F875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540584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6C3C29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A2A85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FFC209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08C597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DD7B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HW ochrana proti zahlcení portu (broadcast/multicast/unicast) nastavitelná na kbps a pps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7DF675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DC51F4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0CA1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AFBED2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CB49F9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D85D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0BB1E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CB1B80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B584C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773ED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332F6B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EF30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s podporou odlišných Preauth VLAN, Fail VLAN, Critical VLAN a Critical voice VLAN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1D2576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F6857B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F6B9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lastRenderedPageBreak/>
              <w:t>802.1X a MAC ověřování pomocí odlišných RADIUS serverů aplikované na různé skupiny portů přepínače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83FC06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CC0731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9995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definujících pro konkrétní uživatele více tagovaných či netagovaných VLAN, ACL, QoS politiky a SDN tunely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5403F1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64C343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D677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ACDDAB6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34ECD4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BC905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48DCE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0EE812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6DED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Tunelování uživatelského provozu do L2 GRE tunelů - schopnost izolovat více koncových zařízení na jednom portu do unikátních tunelů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FAA73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2EBB76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CFB7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47DCB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2AD80FC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75FC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bezpečného transportu Dynamic ACL během 802.1X, např. pomocí SSL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717AF5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766D2E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9ECC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Profilování zařízení pomocí síťových otisků DHCP, HTTP, CDP, LLDP a jejich přenos RADIUSem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82439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515943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7230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IPv6 RA Guard, DHCPv6 Guard a IPv6 Destination Guard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39F26A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883550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3D54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IP source guard / dynamic IP lockdown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C63245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9233F5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3120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Ochrana ARP protokolu (Dynamic ARP protection nebo funkčně ekvivalentní)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BBAD25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3B4AC1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11B1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Port security - omezení počtu MAC adres na port, statické MAC, sticky MAC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FD8A7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BF9CC0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B2AE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BPDU guard a Root guard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C7E06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6577C8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604BC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98DCB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D9B6C7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1BF35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Group based policy pro VXLAN (VXLAN GBP)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9C3B4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21FE87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CB7E5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ochrana control plane (CoPP) před DoS útoky na CPU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26E4A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187A98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5DD5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021F38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B8CFDF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0729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6BF46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ECC8A73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8F7E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TACACS+ a RADIUS klient pro AAA (autentizace, autorizace, accounting)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BC48FC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940B59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850B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F3E6F4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FA9C89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41D4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Radius over TLS (RadSec)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BEE4A6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27EE07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1C51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RADIUS CoA (RFC3576)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BAE8DB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90C9A8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5C2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F7A89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ECE739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F57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 ochrana před zahlcením WRED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D2AD23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61AEBB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8DA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Minimálně 8 front pro IEEE 802.1p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E72D324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98FD69D" w14:textId="77777777" w:rsidTr="002C319C">
        <w:trPr>
          <w:trHeight w:val="288"/>
          <w:jc w:val="center"/>
        </w:trPr>
        <w:tc>
          <w:tcPr>
            <w:tcW w:w="10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78D98" w14:textId="60BA924D" w:rsidR="00E663D0" w:rsidRPr="006D6466" w:rsidRDefault="00E663D0" w:rsidP="00E663D0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</w:tr>
      <w:tr w:rsidR="00E663D0" w14:paraId="7FFAAAF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9091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CLI formou RJ45 serial konsole 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FECC9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105452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DD332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CLI formou 1x USB-C console 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B69F2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EACD16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AF82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bluetooth sériové konzole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7167ED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33BFB5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A4240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80F3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EB1128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5C39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 management formou portu RJ45 s podporou ethernetu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A0A0D67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E5C036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03395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7BD30A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3C22FE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0E9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IPv4 a IPv6 management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B2FDD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D852AB6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726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Dvou-faktorová autentizace pro SSH a WebGUI přihlášení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84E655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51109E7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46E2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C3313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: AES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9F7C36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3461A38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B12D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387FEC9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03CC0E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8AED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3722BF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D8DE10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0006C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5D027A6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AEFFF9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E753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aktualizací běžícího software bez nutnosti restartovat systém - Hot-Patching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11622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686B9D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DE468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Dualní flash image - podpora dvou nezávislých verzí operačního systému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6C3DAC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F30EB13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34198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CC284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8B1035E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B7313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DF55B0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F3AB7D9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AE3FF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>SYSLOG over TLS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45A795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5F7601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ABECEE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lastRenderedPageBreak/>
              <w:t>Podpora automatických i manuálních snapshotů systému a možnost automatického obnovení předchozí konfigurace v případě konfigurační chyby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7ABED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EF1B5C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6DF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standardního Linux Shellu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>(BASH) pro debugging a skripto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A7F1BE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9E52FB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7BA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skripování v jazyce Python – lokální interpret jazyka v přepínači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96A30F5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582462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59F41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3C688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F79371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9200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Grafické rozhraní pro vynášení výsledků monitorování a analytických skriptů - možnost vynášení stavu monitorovaných metrik do grafů atp.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122DF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7FDAD1C4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249B7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Root cause analysis v grafickém rozhraní – možnost vrácení se ke konkrétní funkční konfiguraci a stavu protokolů v čase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040904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315CE2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E3AF3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Integrovaný nástroj na odchyt paketů (např. WireShark nebo ekvivalentní)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09EB1C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2CAF06F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230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966C71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4055D1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B3C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Interní uložistě dat pro sběr provozních dat a pokročilou dignostiku zařízení: min. 15 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80ECB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16A4C96B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192C6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sFlow podle RFC 3176 pro oba směry ingress a egress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EF5BE2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24173A1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B8F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44ABD00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3049D952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DBE09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Ochrana proti nahrání modifikovaného SW prostřednictvím image signing a secure boot, ověřující autentičnost a integritu OS prostřednictvím TPM chipu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5E28A3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3B83CB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2EC0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SPAN a ERSPAN port mirroring, alespoň 4 různé obousměrné session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C222A8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6ED9C6D0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CD224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VoIP </w:t>
            </w:r>
            <w:r w:rsidRPr="00C3313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pt-PT" w:eastAsia="en-GB"/>
              </w:rPr>
              <w:t>-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režim responder i probe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EF353A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24A2259D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D041D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integrace s automatizačními nástroji (Ansible, NAPALM)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87B11B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0190EFF7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9B27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Automatizace – podpora read-only a read-write REST API včetně </w:t>
            </w:r>
            <w:r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DDD65A4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A1AD463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290BA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25397A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E663D0" w14:paraId="49306C85" w14:textId="77777777" w:rsidTr="00E663D0">
        <w:trPr>
          <w:trHeight w:val="288"/>
          <w:jc w:val="center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2B65B" w14:textId="77777777" w:rsidR="00E663D0" w:rsidRDefault="00E663D0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8EDFE8" w14:textId="77777777" w:rsidR="00E663D0" w:rsidRPr="006D6466" w:rsidRDefault="00E663D0" w:rsidP="006D6466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61C00EB8" w14:textId="77777777" w:rsidR="00642CD2" w:rsidRDefault="00642CD2">
      <w:pPr>
        <w:pStyle w:val="Bezmezer"/>
        <w:jc w:val="both"/>
        <w:rPr>
          <w:rFonts w:ascii="Liberation Sans" w:hAnsi="Liberation Sans" w:cstheme="minorHAnsi"/>
          <w:b/>
          <w:sz w:val="20"/>
          <w:szCs w:val="20"/>
        </w:rPr>
      </w:pPr>
    </w:p>
    <w:p w14:paraId="602CBCF8" w14:textId="77777777" w:rsidR="00642CD2" w:rsidRDefault="00534D4F" w:rsidP="00E663D0">
      <w:pPr>
        <w:pStyle w:val="Bezmezer"/>
        <w:spacing w:line="276" w:lineRule="auto"/>
        <w:jc w:val="both"/>
        <w:rPr>
          <w:rFonts w:ascii="Liberation Sans" w:hAnsi="Liberation Sans"/>
        </w:rPr>
      </w:pPr>
      <w:r>
        <w:rPr>
          <w:rFonts w:ascii="Liberation Sans" w:hAnsi="Liberation Sans" w:cstheme="minorHAnsi"/>
          <w:b/>
          <w:sz w:val="20"/>
          <w:szCs w:val="20"/>
        </w:rPr>
        <w:t>Ostatní podmínky</w:t>
      </w:r>
      <w:r>
        <w:rPr>
          <w:rFonts w:ascii="Liberation Sans" w:hAnsi="Liberation Sans" w:cstheme="minorHAnsi"/>
          <w:b/>
          <w:sz w:val="20"/>
          <w:szCs w:val="20"/>
          <w:lang w:val="en-US"/>
        </w:rPr>
        <w:t>:</w:t>
      </w:r>
    </w:p>
    <w:p w14:paraId="2F5A6A75" w14:textId="0FD8C2C5" w:rsidR="00642CD2" w:rsidRPr="00C3313B" w:rsidRDefault="00534D4F" w:rsidP="00E663D0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Liberation Sans" w:hAnsi="Liberation Sans"/>
          <w:lang w:val="cs-CZ"/>
        </w:rPr>
      </w:pPr>
      <w:r w:rsidRPr="00C3313B">
        <w:rPr>
          <w:rFonts w:ascii="Liberation Sans" w:hAnsi="Liberation Sans" w:cstheme="minorHAnsi"/>
          <w:sz w:val="20"/>
          <w:szCs w:val="20"/>
          <w:lang w:val="cs-CZ"/>
        </w:rPr>
        <w:t xml:space="preserve">Hardware musí být dodán </w:t>
      </w:r>
      <w:r w:rsidRPr="00C3313B">
        <w:rPr>
          <w:rFonts w:ascii="Liberation Sans" w:hAnsi="Liberation Sans" w:cstheme="minorHAnsi"/>
          <w:sz w:val="20"/>
          <w:szCs w:val="20"/>
          <w:lang w:val="cs-CZ"/>
        </w:rPr>
        <w:t>zcela nový, plně funkční a kompletní (včetně příslušenství), a musí být určen pro trh v</w:t>
      </w:r>
      <w:r w:rsidR="006D6466">
        <w:rPr>
          <w:rFonts w:ascii="Liberation Sans" w:hAnsi="Liberation Sans" w:cstheme="minorHAnsi" w:hint="eastAsia"/>
          <w:sz w:val="20"/>
          <w:szCs w:val="20"/>
          <w:lang w:val="cs-CZ"/>
        </w:rPr>
        <w:t> </w:t>
      </w:r>
      <w:r w:rsidRPr="00C3313B">
        <w:rPr>
          <w:rFonts w:ascii="Liberation Sans" w:hAnsi="Liberation Sans" w:cstheme="minorHAnsi"/>
          <w:sz w:val="20"/>
          <w:szCs w:val="20"/>
          <w:lang w:val="cs-CZ"/>
        </w:rPr>
        <w:t>rámci EU.</w:t>
      </w:r>
    </w:p>
    <w:p w14:paraId="3AB2E7B7" w14:textId="77777777" w:rsidR="00642CD2" w:rsidRPr="00C3313B" w:rsidRDefault="00534D4F" w:rsidP="00E663D0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Liberation Sans" w:hAnsi="Liberation Sans"/>
          <w:lang w:val="cs-CZ"/>
        </w:rPr>
      </w:pPr>
      <w:r w:rsidRPr="00C3313B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6B884F31" w14:textId="683D5C13" w:rsidR="00C3313B" w:rsidRDefault="00C3313B" w:rsidP="00E663D0">
      <w:pPr>
        <w:pStyle w:val="Odstavecseseznamem"/>
        <w:numPr>
          <w:ilvl w:val="0"/>
          <w:numId w:val="1"/>
        </w:numPr>
        <w:spacing w:after="200" w:line="276" w:lineRule="auto"/>
        <w:contextualSpacing/>
        <w:jc w:val="both"/>
        <w:rPr>
          <w:rFonts w:ascii="Liberation Sans;Arial" w:hAnsi="Liberation Sans;Arial" w:cs="Liberation Sans;Arial"/>
          <w:sz w:val="20"/>
          <w:szCs w:val="20"/>
          <w:lang w:val="cs-CZ"/>
        </w:rPr>
      </w:pPr>
      <w:r w:rsidRPr="009F7DBF">
        <w:rPr>
          <w:rFonts w:ascii="Liberation Sans;Arial" w:hAnsi="Liberation Sans;Arial" w:cs="Liberation Sans;Arial"/>
          <w:sz w:val="20"/>
          <w:szCs w:val="20"/>
          <w:lang w:val="cs-CZ"/>
        </w:rPr>
        <w:t>Je požadována záruka na software a hardware s odesláním náhradních dílů NBD (následující pracovní den) po</w:t>
      </w:r>
      <w:r w:rsidR="006D6466">
        <w:rPr>
          <w:rFonts w:ascii="Liberation Sans;Arial" w:hAnsi="Liberation Sans;Arial" w:cs="Liberation Sans;Arial"/>
          <w:sz w:val="20"/>
          <w:szCs w:val="20"/>
          <w:lang w:val="cs-CZ"/>
        </w:rPr>
        <w:t> </w:t>
      </w:r>
      <w:r w:rsidRPr="009F7DBF">
        <w:rPr>
          <w:rFonts w:ascii="Liberation Sans;Arial" w:hAnsi="Liberation Sans;Arial" w:cs="Liberation Sans;Arial"/>
          <w:sz w:val="20"/>
          <w:szCs w:val="20"/>
          <w:lang w:val="cs-CZ"/>
        </w:rPr>
        <w:t xml:space="preserve">oznámení poruchy v minimální délce 60 měsíců. Tato záruka musí být garantovaná výrobcem zařízení, včetně registrace záruky u výrobce pro </w:t>
      </w:r>
      <w:r w:rsidR="006D6466">
        <w:rPr>
          <w:rFonts w:ascii="Liberation Sans;Arial" w:hAnsi="Liberation Sans;Arial" w:cs="Liberation Sans;Arial"/>
          <w:sz w:val="20"/>
          <w:szCs w:val="20"/>
          <w:lang w:val="cs-CZ"/>
        </w:rPr>
        <w:t>zadavatele</w:t>
      </w:r>
      <w:r w:rsidRPr="009F7DBF">
        <w:rPr>
          <w:rFonts w:ascii="Liberation Sans;Arial" w:hAnsi="Liberation Sans;Arial" w:cs="Liberation Sans;Arial"/>
          <w:sz w:val="20"/>
          <w:szCs w:val="20"/>
          <w:lang w:val="cs-CZ"/>
        </w:rPr>
        <w:t xml:space="preserve"> (písemným potvrzením výrobce, dodáním sériových čísel, na základě kterých si </w:t>
      </w:r>
      <w:r w:rsidR="006D6466">
        <w:rPr>
          <w:rFonts w:ascii="Liberation Sans;Arial" w:hAnsi="Liberation Sans;Arial" w:cs="Liberation Sans;Arial"/>
          <w:sz w:val="20"/>
          <w:szCs w:val="20"/>
          <w:lang w:val="cs-CZ"/>
        </w:rPr>
        <w:t xml:space="preserve">ji zadavatel </w:t>
      </w:r>
      <w:r w:rsidRPr="009F7DBF">
        <w:rPr>
          <w:rFonts w:ascii="Liberation Sans;Arial" w:hAnsi="Liberation Sans;Arial" w:cs="Liberation Sans;Arial"/>
          <w:sz w:val="20"/>
          <w:szCs w:val="20"/>
          <w:lang w:val="cs-CZ"/>
        </w:rPr>
        <w:t xml:space="preserve">ověří v systému výrobce či jiným obdobným způsobem, který činí registraci záruky výrobce pro </w:t>
      </w:r>
      <w:r w:rsidR="006D6466">
        <w:rPr>
          <w:rFonts w:ascii="Liberation Sans;Arial" w:hAnsi="Liberation Sans;Arial" w:cs="Liberation Sans;Arial"/>
          <w:sz w:val="20"/>
          <w:szCs w:val="20"/>
          <w:lang w:val="cs-CZ"/>
        </w:rPr>
        <w:t xml:space="preserve">zadavatele </w:t>
      </w:r>
      <w:r w:rsidRPr="009F7DBF">
        <w:rPr>
          <w:rFonts w:ascii="Liberation Sans;Arial" w:hAnsi="Liberation Sans;Arial" w:cs="Liberation Sans;Arial"/>
          <w:sz w:val="20"/>
          <w:szCs w:val="20"/>
          <w:lang w:val="cs-CZ"/>
        </w:rPr>
        <w:t>nepochybnou).</w:t>
      </w:r>
    </w:p>
    <w:p w14:paraId="76E76B0B" w14:textId="77777777" w:rsidR="00642CD2" w:rsidRPr="00C3313B" w:rsidRDefault="00534D4F" w:rsidP="00E663D0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Liberation Sans" w:hAnsi="Liberation Sans"/>
          <w:lang w:val="cs-CZ"/>
        </w:rPr>
      </w:pPr>
      <w:r w:rsidRPr="00C3313B">
        <w:rPr>
          <w:rFonts w:ascii="Liberation Sans" w:hAnsi="Liberation Sans" w:cstheme="minorHAnsi"/>
          <w:sz w:val="20"/>
          <w:szCs w:val="20"/>
          <w:lang w:val="cs-CZ"/>
        </w:rPr>
        <w:t>Jsou požadovány software aktualizace (nové verze programového vybavení) v minimální délce 60 měsíců.</w:t>
      </w:r>
    </w:p>
    <w:p w14:paraId="08214645" w14:textId="03930E01" w:rsidR="00E663D0" w:rsidRPr="00E663D0" w:rsidRDefault="00534D4F" w:rsidP="00E663D0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Liberation Sans" w:hAnsi="Liberation Sans"/>
          <w:lang w:val="cs-CZ"/>
        </w:rPr>
      </w:pPr>
      <w:r w:rsidRPr="00C3313B">
        <w:rPr>
          <w:rFonts w:ascii="Liberation Sans" w:hAnsi="Liberation Sans" w:cstheme="minorHAnsi"/>
          <w:sz w:val="20"/>
          <w:szCs w:val="20"/>
          <w:lang w:val="cs-CZ"/>
        </w:rPr>
        <w:t xml:space="preserve">Je požadovaná technická </w:t>
      </w:r>
      <w:r w:rsidRPr="00C3313B">
        <w:rPr>
          <w:rFonts w:ascii="Liberation Sans" w:hAnsi="Liberation Sans" w:cstheme="minorHAnsi"/>
          <w:sz w:val="20"/>
          <w:szCs w:val="20"/>
          <w:lang w:val="cs-CZ"/>
        </w:rPr>
        <w:t>podpora výrobce po dobu 60 měsíců.</w:t>
      </w:r>
    </w:p>
    <w:p w14:paraId="5F6AE410" w14:textId="77777777" w:rsidR="00E663D0" w:rsidRPr="00E663D0" w:rsidRDefault="00E663D0" w:rsidP="00E663D0">
      <w:pPr>
        <w:pStyle w:val="Zkladntext"/>
        <w:spacing w:before="480" w:after="240"/>
        <w:rPr>
          <w:rFonts w:ascii="Liberation Sans;Arial" w:eastAsiaTheme="minorHAnsi" w:hAnsi="Liberation Sans;Arial" w:cs="Liberation Sans;Arial"/>
          <w:sz w:val="20"/>
          <w:szCs w:val="20"/>
        </w:rPr>
      </w:pPr>
      <w:r w:rsidRPr="00E663D0">
        <w:rPr>
          <w:rFonts w:ascii="Liberation Sans;Arial" w:eastAsiaTheme="minorHAnsi" w:hAnsi="Liberation Sans;Arial" w:cs="Liberation Sans;Arial"/>
          <w:sz w:val="20"/>
          <w:szCs w:val="20"/>
        </w:rPr>
        <w:t xml:space="preserve">V </w:t>
      </w:r>
      <w:sdt>
        <w:sdtPr>
          <w:rPr>
            <w:rFonts w:ascii="Liberation Sans;Arial" w:eastAsiaTheme="minorHAnsi" w:hAnsi="Liberation Sans;Arial" w:cs="Liberation Sans;Arial"/>
            <w:sz w:val="20"/>
            <w:szCs w:val="20"/>
            <w:highlight w:val="yellow"/>
          </w:rPr>
          <w:alias w:val="Místo"/>
          <w:tag w:val="Místo"/>
          <w:id w:val="-1809771350"/>
          <w:placeholder>
            <w:docPart w:val="0599E17E0E8F4C6F9B9A06428F981452"/>
          </w:placeholder>
          <w:text/>
        </w:sdtPr>
        <w:sdtContent>
          <w:r w:rsidRPr="00E663D0">
            <w:rPr>
              <w:rFonts w:ascii="Liberation Sans;Arial" w:eastAsiaTheme="minorHAnsi" w:hAnsi="Liberation Sans;Arial" w:cs="Liberation Sans;Arial"/>
              <w:sz w:val="20"/>
              <w:szCs w:val="20"/>
              <w:highlight w:val="yellow"/>
            </w:rPr>
            <w:t>[_____] doplnit</w:t>
          </w:r>
        </w:sdtContent>
      </w:sdt>
      <w:r w:rsidRPr="00E663D0">
        <w:rPr>
          <w:rFonts w:ascii="Liberation Sans;Arial" w:eastAsiaTheme="minorHAnsi" w:hAnsi="Liberation Sans;Arial" w:cs="Liberation Sans;Arial"/>
          <w:sz w:val="20"/>
          <w:szCs w:val="20"/>
        </w:rPr>
        <w:t xml:space="preserve"> dne </w:t>
      </w:r>
      <w:sdt>
        <w:sdtPr>
          <w:rPr>
            <w:rFonts w:ascii="Liberation Sans;Arial" w:eastAsiaTheme="minorHAnsi" w:hAnsi="Liberation Sans;Arial" w:cs="Liberation Sans;Arial"/>
            <w:sz w:val="20"/>
            <w:szCs w:val="20"/>
            <w:highlight w:val="yellow"/>
          </w:rPr>
          <w:alias w:val="Datum"/>
          <w:tag w:val="Datum"/>
          <w:id w:val="26452479"/>
          <w:placeholder>
            <w:docPart w:val="2D5D919263954634958F8DBFB8CFAD67"/>
          </w:placeholder>
          <w:text/>
        </w:sdtPr>
        <w:sdtContent>
          <w:r w:rsidRPr="00E663D0">
            <w:rPr>
              <w:rFonts w:ascii="Liberation Sans;Arial" w:eastAsiaTheme="minorHAnsi" w:hAnsi="Liberation Sans;Arial" w:cs="Liberation Sans;Arial"/>
              <w:sz w:val="20"/>
              <w:szCs w:val="20"/>
              <w:highlight w:val="yellow"/>
            </w:rPr>
            <w:t>[_____] doplnit</w:t>
          </w:r>
        </w:sdtContent>
      </w:sdt>
    </w:p>
    <w:p w14:paraId="22BC130E" w14:textId="77777777" w:rsidR="00E663D0" w:rsidRPr="00E663D0" w:rsidRDefault="00E663D0" w:rsidP="00E663D0">
      <w:pPr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  <w:r w:rsidRPr="00E663D0">
        <w:rPr>
          <w:rFonts w:ascii="Liberation Sans;Arial" w:eastAsiaTheme="minorHAnsi" w:hAnsi="Liberation Sans;Arial" w:cs="Liberation Sans;Arial"/>
          <w:sz w:val="20"/>
          <w:szCs w:val="20"/>
          <w:highlight w:val="yellow"/>
        </w:rPr>
        <w:t>(</w:t>
      </w:r>
      <w:r w:rsidRPr="00E663D0">
        <w:rPr>
          <w:rFonts w:ascii="Liberation Sans;Arial" w:eastAsiaTheme="minorHAnsi" w:hAnsi="Liberation Sans;Arial" w:cs="Liberation Sans;Arial"/>
          <w:sz w:val="20"/>
          <w:szCs w:val="20"/>
        </w:rPr>
        <w:t>el.</w:t>
      </w:r>
      <w:r w:rsidRPr="00E663D0">
        <w:rPr>
          <w:rFonts w:ascii="Liberation Sans;Arial" w:eastAsiaTheme="minorHAnsi" w:hAnsi="Liberation Sans;Arial" w:cs="Liberation Sans;Arial"/>
          <w:sz w:val="20"/>
          <w:szCs w:val="20"/>
          <w:highlight w:val="yellow"/>
        </w:rPr>
        <w:t>)</w:t>
      </w:r>
      <w:r w:rsidRPr="00E663D0">
        <w:rPr>
          <w:rFonts w:ascii="Liberation Sans;Arial" w:eastAsiaTheme="minorHAnsi" w:hAnsi="Liberation Sans;Arial" w:cs="Liberation Sans;Arial"/>
          <w:sz w:val="20"/>
          <w:szCs w:val="20"/>
        </w:rPr>
        <w:t xml:space="preserve"> podpis:</w:t>
      </w:r>
    </w:p>
    <w:p w14:paraId="7067F6DE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5F76943D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6321D015" w14:textId="708B82A4" w:rsid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331FB248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2338B35C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5145A251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</w:p>
    <w:p w14:paraId="7770EBB8" w14:textId="77777777" w:rsidR="00E663D0" w:rsidRPr="00E663D0" w:rsidRDefault="00E663D0" w:rsidP="00E663D0">
      <w:pPr>
        <w:spacing w:after="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  <w:r w:rsidRPr="00E663D0">
        <w:rPr>
          <w:rFonts w:ascii="Liberation Sans;Arial" w:eastAsiaTheme="minorHAnsi" w:hAnsi="Liberation Sans;Arial" w:cs="Liberation Sans;Arial"/>
          <w:sz w:val="20"/>
          <w:szCs w:val="20"/>
        </w:rPr>
        <w:t>…………………………………………….</w:t>
      </w:r>
    </w:p>
    <w:p w14:paraId="420FDA12" w14:textId="77777777" w:rsidR="00E663D0" w:rsidRPr="00E663D0" w:rsidRDefault="00E663D0" w:rsidP="00E663D0">
      <w:pPr>
        <w:pStyle w:val="Zkladntext"/>
        <w:spacing w:after="0"/>
        <w:rPr>
          <w:rFonts w:ascii="Liberation Sans;Arial" w:eastAsiaTheme="minorHAnsi" w:hAnsi="Liberation Sans;Arial" w:cs="Liberation Sans;Arial"/>
          <w:sz w:val="20"/>
          <w:szCs w:val="20"/>
          <w:highlight w:val="yellow"/>
        </w:rPr>
      </w:pPr>
      <w:sdt>
        <w:sdtPr>
          <w:rPr>
            <w:rFonts w:ascii="Liberation Sans;Arial" w:eastAsiaTheme="minorHAnsi" w:hAnsi="Liberation Sans;Arial" w:cs="Liberation Sans;Arial"/>
            <w:sz w:val="20"/>
            <w:szCs w:val="20"/>
            <w:highlight w:val="yellow"/>
          </w:rPr>
          <w:alias w:val="Statutár_Dodavatele_Jméno"/>
          <w:tag w:val="Statutár_Dodavatele_Jméno"/>
          <w:id w:val="1364872944"/>
          <w:placeholder>
            <w:docPart w:val="CD5EE695872A4C0E923F00A39176FC1A"/>
          </w:placeholder>
          <w:docPartList>
            <w:docPartGallery w:val="Quick Parts"/>
            <w:docPartCategory w:val="Šablony"/>
          </w:docPartList>
        </w:sdtPr>
        <w:sdtContent>
          <w:r w:rsidRPr="00E663D0">
            <w:rPr>
              <w:rFonts w:ascii="Liberation Sans;Arial" w:eastAsiaTheme="minorHAnsi" w:hAnsi="Liberation Sans;Arial" w:cs="Liberation Sans;Arial"/>
              <w:sz w:val="20"/>
              <w:szCs w:val="20"/>
              <w:highlight w:val="yellow"/>
            </w:rPr>
            <w:t>[_____] doplnit titul, jméno, příjmení</w:t>
          </w:r>
        </w:sdtContent>
      </w:sdt>
    </w:p>
    <w:p w14:paraId="73780BD5" w14:textId="2717C7B1" w:rsidR="00E663D0" w:rsidRPr="00E663D0" w:rsidRDefault="00E663D0" w:rsidP="00E663D0">
      <w:pPr>
        <w:spacing w:after="0"/>
        <w:ind w:right="340"/>
        <w:jc w:val="both"/>
        <w:rPr>
          <w:rFonts w:ascii="Liberation Sans;Arial" w:eastAsiaTheme="minorHAnsi" w:hAnsi="Liberation Sans;Arial" w:cs="Liberation Sans;Arial"/>
          <w:sz w:val="20"/>
          <w:szCs w:val="20"/>
        </w:rPr>
      </w:pPr>
      <w:sdt>
        <w:sdtPr>
          <w:rPr>
            <w:rFonts w:ascii="Liberation Sans;Arial" w:eastAsiaTheme="minorHAnsi" w:hAnsi="Liberation Sans;Arial" w:cs="Liberation Sans;Arial"/>
            <w:sz w:val="20"/>
            <w:szCs w:val="20"/>
            <w:highlight w:val="yellow"/>
          </w:rPr>
          <w:alias w:val="Statutár_Dodavatele_Funkce"/>
          <w:tag w:val="Statutár_Dodavatele_Funkce"/>
          <w:id w:val="-1560632512"/>
          <w:placeholder>
            <w:docPart w:val="661CCFC2A91348F39004FC7641BDBEE7"/>
          </w:placeholder>
          <w:docPartList>
            <w:docPartGallery w:val="Quick Parts"/>
            <w:docPartCategory w:val="Šablony"/>
          </w:docPartList>
        </w:sdtPr>
        <w:sdtContent>
          <w:r w:rsidRPr="00E663D0">
            <w:rPr>
              <w:rFonts w:ascii="Liberation Sans;Arial" w:eastAsiaTheme="minorHAnsi" w:hAnsi="Liberation Sans;Arial" w:cs="Liberation Sans;Arial"/>
              <w:sz w:val="20"/>
              <w:szCs w:val="20"/>
              <w:highlight w:val="yellow"/>
            </w:rPr>
            <w:t>[_____] doplnit funkci osoby oprávněné jednat za dodavatele</w:t>
          </w:r>
        </w:sdtContent>
      </w:sdt>
    </w:p>
    <w:sectPr w:rsidR="00E663D0" w:rsidRPr="00E663D0">
      <w:pgSz w:w="12240" w:h="15840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624FB" w14:textId="77777777" w:rsidR="00534D4F" w:rsidRDefault="00534D4F" w:rsidP="006D6466">
      <w:pPr>
        <w:spacing w:after="0" w:line="240" w:lineRule="auto"/>
      </w:pPr>
      <w:r>
        <w:separator/>
      </w:r>
    </w:p>
  </w:endnote>
  <w:endnote w:type="continuationSeparator" w:id="0">
    <w:p w14:paraId="2FD290DD" w14:textId="77777777" w:rsidR="00534D4F" w:rsidRDefault="00534D4F" w:rsidP="006D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altName w:val="Calibri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BFC40" w14:textId="77777777" w:rsidR="00534D4F" w:rsidRDefault="00534D4F" w:rsidP="006D6466">
      <w:pPr>
        <w:spacing w:after="0" w:line="240" w:lineRule="auto"/>
      </w:pPr>
      <w:r>
        <w:separator/>
      </w:r>
    </w:p>
  </w:footnote>
  <w:footnote w:type="continuationSeparator" w:id="0">
    <w:p w14:paraId="5C35D5E5" w14:textId="77777777" w:rsidR="00534D4F" w:rsidRDefault="00534D4F" w:rsidP="006D6466">
      <w:pPr>
        <w:spacing w:after="0" w:line="240" w:lineRule="auto"/>
      </w:pPr>
      <w:r>
        <w:continuationSeparator/>
      </w:r>
    </w:p>
  </w:footnote>
  <w:footnote w:id="1">
    <w:p w14:paraId="34856167" w14:textId="12118C22" w:rsidR="00E663D0" w:rsidRPr="00B14599" w:rsidRDefault="00E663D0" w:rsidP="006D6466">
      <w:pPr>
        <w:pStyle w:val="Textpoznpodarou"/>
        <w:rPr>
          <w:rFonts w:ascii="Calibri" w:hAnsi="Calibri" w:cs="Calibri"/>
          <w:b/>
          <w:i/>
        </w:rPr>
      </w:pPr>
      <w:r w:rsidRPr="00E663D0">
        <w:rPr>
          <w:rStyle w:val="Znakapoznpodarou"/>
          <w:i/>
        </w:rPr>
        <w:footnoteRef/>
      </w:r>
      <w:r>
        <w:t xml:space="preserve"> </w:t>
      </w:r>
      <w:r w:rsidRPr="005A1755">
        <w:rPr>
          <w:rFonts w:ascii="Calibri" w:hAnsi="Calibri" w:cs="Calibri"/>
          <w:b/>
          <w:i/>
          <w:highlight w:val="yellow"/>
          <w:u w:val="single"/>
        </w:rPr>
        <w:t>Pokyny pro dodavatele:</w:t>
      </w:r>
    </w:p>
    <w:p w14:paraId="7BF671CC" w14:textId="77777777" w:rsidR="00E663D0" w:rsidRPr="00DB3D1C" w:rsidRDefault="00E663D0" w:rsidP="006D6466">
      <w:pPr>
        <w:pStyle w:val="Textpoznpodarou"/>
        <w:tabs>
          <w:tab w:val="clear" w:pos="425"/>
        </w:tabs>
        <w:spacing w:after="60"/>
        <w:ind w:left="0" w:firstLine="0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Dodavatel </w:t>
      </w:r>
      <w:r>
        <w:rPr>
          <w:rFonts w:ascii="Calibri" w:hAnsi="Calibri" w:cs="Calibri"/>
          <w:i/>
          <w:highlight w:val="yellow"/>
        </w:rPr>
        <w:t xml:space="preserve">pravdivě </w:t>
      </w:r>
      <w:r w:rsidRPr="005A1755">
        <w:rPr>
          <w:rFonts w:ascii="Calibri" w:hAnsi="Calibri" w:cs="Calibri"/>
          <w:i/>
          <w:highlight w:val="yellow"/>
        </w:rPr>
        <w:t xml:space="preserve">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uvede </w:t>
      </w:r>
      <w:r>
        <w:rPr>
          <w:rFonts w:ascii="Calibri" w:hAnsi="Calibri" w:cs="Calibri"/>
          <w:i/>
          <w:highlight w:val="yellow"/>
        </w:rPr>
        <w:t>„ANO“ v případě, že jím nabízené</w:t>
      </w:r>
      <w:r w:rsidRPr="005A1755">
        <w:rPr>
          <w:rFonts w:ascii="Calibri" w:hAnsi="Calibri" w:cs="Calibri"/>
          <w:i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 xml:space="preserve">plnění </w:t>
      </w:r>
      <w:r w:rsidRPr="005A1755">
        <w:rPr>
          <w:rFonts w:ascii="Calibri" w:hAnsi="Calibri" w:cs="Calibri"/>
          <w:i/>
          <w:highlight w:val="yellow"/>
        </w:rPr>
        <w:t xml:space="preserve">podmínku splňuje, „NE“ v případě, že ji nesplňuje. </w:t>
      </w:r>
      <w:r>
        <w:rPr>
          <w:rFonts w:ascii="Calibri" w:hAnsi="Calibri" w:cs="Calibri"/>
          <w:i/>
          <w:highlight w:val="yellow"/>
        </w:rPr>
        <w:t>Je-li v podmínce předepsána konkrétní hodnota, rozsah hodnot, min. či max. hodnota, dodavatel uvede konkrétní hodnotu(y), kterou(ými) nabízené plnění disponuje.</w:t>
      </w:r>
    </w:p>
    <w:p w14:paraId="3878A6F5" w14:textId="77777777" w:rsidR="00E663D0" w:rsidRDefault="00E663D0" w:rsidP="006D6466">
      <w:pPr>
        <w:pStyle w:val="Textpoznpodarou"/>
        <w:tabs>
          <w:tab w:val="clear" w:pos="425"/>
        </w:tabs>
        <w:spacing w:after="60"/>
        <w:ind w:left="0" w:firstLine="1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Přitom platí, že veškeré </w:t>
      </w:r>
      <w:r>
        <w:rPr>
          <w:rFonts w:ascii="Calibri" w:hAnsi="Calibri" w:cs="Calibri"/>
          <w:i/>
          <w:highlight w:val="yellow"/>
        </w:rPr>
        <w:t xml:space="preserve">shora uvedené </w:t>
      </w:r>
      <w:r w:rsidRPr="00DB3D1C">
        <w:rPr>
          <w:rFonts w:ascii="Calibri" w:hAnsi="Calibri" w:cs="Calibri"/>
          <w:i/>
          <w:highlight w:val="yellow"/>
        </w:rPr>
        <w:t>technické podmínky jsou uvedeny jako minimální (popř. dle jejich povahy jako maximální) a</w:t>
      </w:r>
      <w:r>
        <w:rPr>
          <w:rFonts w:ascii="Calibri" w:hAnsi="Calibri" w:cs="Calibri"/>
          <w:i/>
          <w:highlight w:val="yellow"/>
        </w:rPr>
        <w:t> </w:t>
      </w:r>
      <w:r w:rsidRPr="00DB3D1C">
        <w:rPr>
          <w:rFonts w:ascii="Calibri" w:hAnsi="Calibri" w:cs="Calibri"/>
          <w:i/>
          <w:highlight w:val="yellow"/>
        </w:rPr>
        <w:t>závazné, tj. vyjadřují minimální technickou úroveň, která musí být dodavatelem dodržena.</w:t>
      </w:r>
    </w:p>
    <w:p w14:paraId="07A9C49F" w14:textId="77777777" w:rsidR="00E663D0" w:rsidRPr="006D6466" w:rsidRDefault="00E663D0" w:rsidP="006D6466">
      <w:pPr>
        <w:pStyle w:val="Textpoznpodarou"/>
        <w:tabs>
          <w:tab w:val="clear" w:pos="425"/>
        </w:tabs>
        <w:suppressAutoHyphens/>
        <w:ind w:left="0" w:firstLine="0"/>
        <w:rPr>
          <w:rFonts w:ascii="Calibri" w:hAnsi="Calibri" w:cs="Calibri"/>
          <w:i/>
          <w:highlight w:val="yellow"/>
        </w:rPr>
      </w:pPr>
      <w:r w:rsidRPr="006D6466">
        <w:rPr>
          <w:rFonts w:ascii="Calibri" w:hAnsi="Calibri" w:cs="Calibri"/>
          <w:i/>
          <w:highlight w:val="yellow"/>
        </w:rPr>
        <w:t>Podrobnou specifikaci nabízeného switche vzniklou vyplněním tohoto dokumentu dle shora uvedených podmínek a pokynů dodavatel předloží ve své nabídce spolu s položkovými rozpočty vzniklými vyplněním soupisů stavebních prací, dodávek a služeb s výkazy výměr.</w:t>
      </w:r>
    </w:p>
    <w:p w14:paraId="16E8C368" w14:textId="77777777" w:rsidR="00E663D0" w:rsidRPr="006D6466" w:rsidRDefault="00E663D0" w:rsidP="006D6466">
      <w:pPr>
        <w:pStyle w:val="Textpoznpodarou"/>
        <w:tabs>
          <w:tab w:val="clear" w:pos="425"/>
        </w:tabs>
        <w:spacing w:before="240"/>
        <w:ind w:left="142" w:hanging="142"/>
        <w:rPr>
          <w:rFonts w:ascii="Calibri" w:hAnsi="Calibri" w:cs="Calibri"/>
          <w:b/>
          <w:i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661FC086" w14:textId="3C12B3B8" w:rsidR="00E663D0" w:rsidRDefault="00E663D0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90C8D"/>
    <w:multiLevelType w:val="multilevel"/>
    <w:tmpl w:val="391EBE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437FEB"/>
    <w:multiLevelType w:val="multilevel"/>
    <w:tmpl w:val="78C6B5B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5E7322"/>
    <w:multiLevelType w:val="multilevel"/>
    <w:tmpl w:val="757CACC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D2"/>
    <w:rsid w:val="00281AA1"/>
    <w:rsid w:val="00534D4F"/>
    <w:rsid w:val="00642CD2"/>
    <w:rsid w:val="006D6466"/>
    <w:rsid w:val="00C3313B"/>
    <w:rsid w:val="00E6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751A"/>
  <w15:docId w15:val="{1F88FB6B-3654-43DB-B977-40FF10F2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4FD0"/>
    <w:pPr>
      <w:spacing w:after="200" w:line="276" w:lineRule="auto"/>
    </w:pPr>
    <w:rPr>
      <w:rFonts w:eastAsia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00E97"/>
    <w:rPr>
      <w:rFonts w:ascii="Tahoma" w:eastAsia="Calibri" w:hAnsi="Tahoma" w:cs="Tahoma"/>
      <w:sz w:val="16"/>
      <w:szCs w:val="16"/>
      <w:lang w:val="cs-CZ" w:eastAsia="en-US"/>
    </w:rPr>
  </w:style>
  <w:style w:type="character" w:customStyle="1" w:styleId="WW8Num1z0">
    <w:name w:val="WW8Num1z0"/>
    <w:qFormat/>
    <w:rPr>
      <w:rFonts w:ascii="Arial" w:hAnsi="Arial" w:cs="Arial"/>
      <w:sz w:val="20"/>
      <w:szCs w:val="20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uiPriority w:val="1"/>
    <w:qFormat/>
    <w:rsid w:val="00B50751"/>
    <w:rPr>
      <w:rFonts w:eastAsia="Calibri" w:cs="Times New Roman"/>
      <w:lang w:val="cs-CZ" w:eastAsia="en-US"/>
    </w:rPr>
  </w:style>
  <w:style w:type="paragraph" w:styleId="Odstavecseseznamem">
    <w:name w:val="List Paragraph"/>
    <w:basedOn w:val="Normln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table" w:styleId="Mkatabulky">
    <w:name w:val="Table Grid"/>
    <w:basedOn w:val="Normlntabulka"/>
    <w:uiPriority w:val="59"/>
    <w:rsid w:val="006D6466"/>
    <w:pPr>
      <w:suppressAutoHyphens w:val="0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nhideWhenUsed/>
    <w:rsid w:val="006D6466"/>
    <w:pPr>
      <w:suppressAutoHyphens w:val="0"/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rsid w:val="006D6466"/>
    <w:rPr>
      <w:rFonts w:ascii="Calibri" w:eastAsia="Calibri" w:hAnsi="Calibri" w:cs="Times New Roman"/>
      <w:szCs w:val="21"/>
      <w:lang w:val="cs-CZ"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6D6466"/>
    <w:pPr>
      <w:tabs>
        <w:tab w:val="left" w:pos="425"/>
      </w:tabs>
      <w:suppressAutoHyphens w:val="0"/>
      <w:spacing w:after="0" w:line="240" w:lineRule="auto"/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D646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styleId="Znakapoznpodarou">
    <w:name w:val="footnote reference"/>
    <w:uiPriority w:val="99"/>
    <w:semiHidden/>
    <w:unhideWhenUsed/>
    <w:rsid w:val="006D6466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D6466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D6466"/>
    <w:rPr>
      <w:rFonts w:eastAsia="Calibri" w:cs="Times New Roman"/>
      <w:sz w:val="20"/>
      <w:szCs w:val="20"/>
      <w:lang w:val="cs-CZ"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D6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99E17E0E8F4C6F9B9A06428F981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F8BD9-64AA-4A6E-B9F6-326594F775C9}"/>
      </w:docPartPr>
      <w:docPartBody>
        <w:p w:rsidR="00000000" w:rsidRDefault="00417A21" w:rsidP="00417A21">
          <w:pPr>
            <w:pStyle w:val="0599E17E0E8F4C6F9B9A06428F98145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D5D919263954634958F8DBFB8CFA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5BB97-1F26-45DB-BBB8-045683367B90}"/>
      </w:docPartPr>
      <w:docPartBody>
        <w:p w:rsidR="00000000" w:rsidRDefault="00417A21" w:rsidP="00417A21">
          <w:pPr>
            <w:pStyle w:val="2D5D919263954634958F8DBFB8CFAD6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5EE695872A4C0E923F00A39176F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0DE447-65A2-478A-8658-AD6786E4F82A}"/>
      </w:docPartPr>
      <w:docPartBody>
        <w:p w:rsidR="00000000" w:rsidRDefault="00417A21" w:rsidP="00417A21">
          <w:pPr>
            <w:pStyle w:val="CD5EE695872A4C0E923F00A39176FC1A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661CCFC2A91348F39004FC7641BDB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8294D-0A80-461F-9129-5DC2DDFFA286}"/>
      </w:docPartPr>
      <w:docPartBody>
        <w:p w:rsidR="00000000" w:rsidRDefault="00417A21" w:rsidP="00417A21">
          <w:pPr>
            <w:pStyle w:val="661CCFC2A91348F39004FC7641BDBEE7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altName w:val="Calibri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21"/>
    <w:rsid w:val="00417A21"/>
    <w:rsid w:val="00CD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7A21"/>
  </w:style>
  <w:style w:type="paragraph" w:customStyle="1" w:styleId="0599E17E0E8F4C6F9B9A06428F981452">
    <w:name w:val="0599E17E0E8F4C6F9B9A06428F981452"/>
    <w:rsid w:val="00417A21"/>
  </w:style>
  <w:style w:type="paragraph" w:customStyle="1" w:styleId="2D5D919263954634958F8DBFB8CFAD67">
    <w:name w:val="2D5D919263954634958F8DBFB8CFAD67"/>
    <w:rsid w:val="00417A21"/>
  </w:style>
  <w:style w:type="paragraph" w:customStyle="1" w:styleId="CD5EE695872A4C0E923F00A39176FC1A">
    <w:name w:val="CD5EE695872A4C0E923F00A39176FC1A"/>
    <w:rsid w:val="00417A21"/>
  </w:style>
  <w:style w:type="paragraph" w:customStyle="1" w:styleId="661CCFC2A91348F39004FC7641BDBEE7">
    <w:name w:val="661CCFC2A91348F39004FC7641BDBEE7"/>
    <w:rsid w:val="00417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D775BDAE192849AE18BCBA634F18F2" ma:contentTypeVersion="4" ma:contentTypeDescription="Vytvoří nový dokument" ma:contentTypeScope="" ma:versionID="39454fd244aaf99dac078120120ccaa5">
  <xsd:schema xmlns:xsd="http://www.w3.org/2001/XMLSchema" xmlns:xs="http://www.w3.org/2001/XMLSchema" xmlns:p="http://schemas.microsoft.com/office/2006/metadata/properties" xmlns:ns2="4b009550-0dfc-48c0-820a-ee4d5309bd1b" targetNamespace="http://schemas.microsoft.com/office/2006/metadata/properties" ma:root="true" ma:fieldsID="0cf20b78f561104d393758e3daceed09" ns2:_="">
    <xsd:import namespace="4b009550-0dfc-48c0-820a-ee4d5309b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09550-0dfc-48c0-820a-ee4d5309b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11D4-1325-4911-973C-3635E09ED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F7383C-D9C6-4D19-A5D5-92960B5C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C07BD-A86E-45D0-9037-3EAFAAD91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009550-0dfc-48c0-820a-ee4d5309b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DDA4EF-063A-4A21-81CA-B52F32C7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1364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Bena Marek</cp:lastModifiedBy>
  <cp:revision>14</cp:revision>
  <dcterms:created xsi:type="dcterms:W3CDTF">2024-10-14T15:28:00Z</dcterms:created>
  <dcterms:modified xsi:type="dcterms:W3CDTF">2025-03-25T15:59:00Z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0x0101004CD775BDAE192849AE18BCBA634F18F2</vt:lpwstr>
  </property>
</Properties>
</file>