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BB84" w14:textId="77777777" w:rsidR="00D87295" w:rsidRPr="00A326AE" w:rsidRDefault="00D87295" w:rsidP="005232C7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Příloha č. 1 - </w:t>
      </w:r>
      <w:r w:rsidRPr="00A326AE">
        <w:rPr>
          <w:rFonts w:ascii="Arial Narrow" w:hAnsi="Arial Narrow"/>
          <w:b/>
          <w:bCs/>
          <w:sz w:val="28"/>
          <w:szCs w:val="28"/>
        </w:rPr>
        <w:t>Technická specifikace předmětu plnění</w:t>
      </w:r>
    </w:p>
    <w:p w14:paraId="03B76FF8" w14:textId="77777777" w:rsidR="00D87295" w:rsidRPr="00D87295" w:rsidRDefault="00D87295" w:rsidP="00D87295"/>
    <w:p w14:paraId="6FBEEB0C" w14:textId="77777777" w:rsidR="00121DE3" w:rsidRPr="00D87295" w:rsidRDefault="00121DE3" w:rsidP="00121DE3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D87295">
        <w:rPr>
          <w:rFonts w:ascii="Arial Narrow" w:hAnsi="Arial Narrow" w:cs="Arial"/>
          <w:b/>
          <w:sz w:val="24"/>
          <w:szCs w:val="24"/>
          <w:u w:val="single"/>
        </w:rPr>
        <w:t>Technická specifikace VoIP systému LERCO</w:t>
      </w:r>
    </w:p>
    <w:p w14:paraId="0A4C3143" w14:textId="7A8D338A" w:rsidR="00121DE3" w:rsidRPr="00CD680D" w:rsidRDefault="00121DE3" w:rsidP="00121DE3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8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64"/>
        <w:gridCol w:w="960"/>
        <w:gridCol w:w="6640"/>
      </w:tblGrid>
      <w:tr w:rsidR="002E0FED" w:rsidRPr="00831E7A" w14:paraId="6C0F9440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38A" w14:textId="77777777" w:rsidR="002E0FED" w:rsidRPr="00831E7A" w:rsidRDefault="002E0FED" w:rsidP="002E0FED">
            <w:pPr>
              <w:suppressAutoHyphens w:val="0"/>
              <w:rPr>
                <w:rFonts w:ascii="Arial Narrow" w:hAnsi="Arial Narrow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561" w14:textId="77777777" w:rsidR="002E0FED" w:rsidRPr="00831E7A" w:rsidRDefault="002E0FED" w:rsidP="002E0FED">
            <w:pPr>
              <w:suppressAutoHyphens w:val="0"/>
              <w:rPr>
                <w:rFonts w:ascii="Arial Narrow" w:hAnsi="Arial Narrow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8AF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9187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cs-CZ"/>
              </w:rPr>
              <w:t>název položky</w:t>
            </w:r>
          </w:p>
        </w:tc>
      </w:tr>
      <w:tr w:rsidR="002E0FED" w:rsidRPr="00831E7A" w14:paraId="6BF79169" w14:textId="77777777" w:rsidTr="004D2107">
        <w:trPr>
          <w:trHeight w:val="9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3B89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9FC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A966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861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řízení OS4000 v.10 v režimu vzdálené IP vany, (hlavní + záložní SSD disk, 120 Flex licencí pro účastnické karty V10, VoIP připojení na centrální ústřednu OSC4000 ver. 10 R10) </w:t>
            </w:r>
          </w:p>
        </w:tc>
      </w:tr>
      <w:tr w:rsidR="002E0FED" w:rsidRPr="00831E7A" w14:paraId="2AD5CFDE" w14:textId="77777777" w:rsidTr="004D2107">
        <w:trPr>
          <w:trHeight w:val="9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0A0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7C1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58B4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951" w14:textId="32274EF1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připojení k centrální ústředně přes TRUNK port 10/100/1000Mbps, ETH port</w:t>
            </w:r>
            <w:r w:rsidR="00F06958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 podporuje VLANy, statické IP, DHCP, port security</w:t>
            </w:r>
          </w:p>
        </w:tc>
      </w:tr>
      <w:tr w:rsidR="002E0FED" w:rsidRPr="00831E7A" w14:paraId="2D2930F4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5083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BC3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7070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869" w14:textId="46B612DC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vana 19" AP 3700 s 2ks zdroj LUNA  </w:t>
            </w:r>
          </w:p>
        </w:tc>
      </w:tr>
      <w:tr w:rsidR="002E0FED" w:rsidRPr="00831E7A" w14:paraId="72E4D466" w14:textId="77777777" w:rsidTr="004D2107">
        <w:trPr>
          <w:trHeight w:val="6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CBF2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CB71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A7AA" w14:textId="77777777" w:rsidR="002E0FED" w:rsidRPr="00831E7A" w:rsidRDefault="002E0FED" w:rsidP="00F06958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D0BD" w14:textId="5E3CA025" w:rsidR="002E0FED" w:rsidRPr="00831E7A" w:rsidRDefault="002E0FED" w:rsidP="00F06958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 xml:space="preserve">5m systémový patchkabel </w:t>
            </w:r>
            <w:r w:rsidR="00894882"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–</w:t>
            </w: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 xml:space="preserve"> zakončených</w:t>
            </w:r>
            <w:r w:rsidR="00894882"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 xml:space="preserve">na </w:t>
            </w:r>
            <w:r w:rsidR="00F06958"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 xml:space="preserve">dodaném </w:t>
            </w: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patchpanelu ISDN2 50p, 1U (kat.3)</w:t>
            </w:r>
          </w:p>
        </w:tc>
      </w:tr>
      <w:tr w:rsidR="002E0FED" w:rsidRPr="00831E7A" w14:paraId="1C8D9558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4311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C04F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E70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4x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1C5A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účastnické desky 96 digitálních portů (4x karta min. SLMU24) </w:t>
            </w:r>
          </w:p>
        </w:tc>
      </w:tr>
      <w:tr w:rsidR="002E0FED" w:rsidRPr="00831E7A" w14:paraId="206A85E0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1320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1BC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471B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94F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účastnická deska SLMAE 24 analogových portů s funkcí CLIP</w:t>
            </w:r>
          </w:p>
        </w:tc>
      </w:tr>
      <w:tr w:rsidR="002E0FED" w:rsidRPr="00831E7A" w14:paraId="231D175E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A49D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E464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A380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0CD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deska pro řízení vany LTUCR</w:t>
            </w:r>
          </w:p>
        </w:tc>
      </w:tr>
      <w:tr w:rsidR="002E0FED" w:rsidRPr="00831E7A" w14:paraId="078949C8" w14:textId="77777777" w:rsidTr="004D2107">
        <w:trPr>
          <w:trHeight w:val="9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465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A8F7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D023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8B3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19“ rack 37U (800x800mm) s rozvodnou vícenásobnou zásuvkou typu „5xF“ a vidlicí IEC C13 pro připojení k UPS, odvětrávací police řízená nastavitelným termostatem</w:t>
            </w:r>
          </w:p>
        </w:tc>
      </w:tr>
      <w:tr w:rsidR="002E0FED" w:rsidRPr="00831E7A" w14:paraId="6397E05F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2D76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D5D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F5ED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755" w14:textId="6F2470D4" w:rsidR="002E0FED" w:rsidRPr="00831E7A" w:rsidRDefault="0017363A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kovová</w:t>
            </w:r>
            <w:r w:rsidR="004D7C41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 (plechová)</w:t>
            </w: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E0FED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odkládací police 1U, 280 mm</w:t>
            </w:r>
          </w:p>
        </w:tc>
      </w:tr>
      <w:tr w:rsidR="002E0FED" w:rsidRPr="00831E7A" w14:paraId="3BA93EDB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B11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ACFF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99F6" w14:textId="77777777" w:rsidR="002E0FED" w:rsidRPr="00831E7A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EC9" w14:textId="0BCCA2AF" w:rsidR="002E0FED" w:rsidRPr="00831E7A" w:rsidRDefault="0017363A" w:rsidP="002E0FED">
            <w:pPr>
              <w:suppressAutoHyphens w:val="0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k</w:t>
            </w:r>
            <w:r w:rsidR="00C07AC7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ovové </w:t>
            </w:r>
            <w:r w:rsidR="002E0FED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horizontální organizery na kabely</w:t>
            </w:r>
          </w:p>
        </w:tc>
      </w:tr>
      <w:tr w:rsidR="00E65F89" w:rsidRPr="00831E7A" w14:paraId="3C097E7A" w14:textId="77777777" w:rsidTr="004D2107">
        <w:trPr>
          <w:trHeight w:val="6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6B20" w14:textId="77777777" w:rsidR="00E65F89" w:rsidRPr="00831E7A" w:rsidRDefault="00E65F89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62AD" w14:textId="3967CD61" w:rsidR="00E65F89" w:rsidRPr="00831E7A" w:rsidRDefault="00E65F89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</w:t>
            </w:r>
            <w:r w:rsidR="00DE34D5"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353B" w14:textId="7E280BEA" w:rsidR="00E65F89" w:rsidRPr="00831E7A" w:rsidRDefault="000F6121" w:rsidP="002E0FE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7</w:t>
            </w:r>
            <w:r w:rsidR="00740964"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6</w:t>
            </w:r>
            <w:r w:rsidR="00DE34D5" w:rsidRPr="00831E7A">
              <w:rPr>
                <w:rFonts w:ascii="Arial Narrow" w:hAnsi="Arial Narrow" w:cs="Calibri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DC9F" w14:textId="4A7C4880" w:rsidR="00E65F89" w:rsidRPr="00831E7A" w:rsidRDefault="001D4F39" w:rsidP="002E0FED">
            <w:pPr>
              <w:suppressAutoHyphens w:val="0"/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</w:pP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Digitální telefonní přístroj </w:t>
            </w:r>
            <w:r w:rsidR="00850E55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s displejem, tlačítky r</w:t>
            </w:r>
            <w:r w:rsidR="00C90382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y</w:t>
            </w:r>
            <w:r w:rsidR="00850E55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chlé volby</w:t>
            </w:r>
            <w:r w:rsidR="00C90382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E5569B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Call Forwarding a Call Transfe</w:t>
            </w:r>
            <w:r w:rsidR="00DE34D5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r</w:t>
            </w:r>
            <w:r w:rsidR="00E5569B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DE34D5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musí být </w:t>
            </w:r>
            <w:r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plně kompatibilní s OS 4000 v.10</w:t>
            </w:r>
            <w:r w:rsidR="00740964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 a </w:t>
            </w:r>
            <w:r w:rsidR="00DE34D5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musí </w:t>
            </w:r>
            <w:r w:rsidR="002F315D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splňova</w:t>
            </w:r>
            <w:r w:rsidR="00DE34D5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>t</w:t>
            </w:r>
            <w:r w:rsidR="002F315D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 technické a legislativní požadavky ČTÚ</w:t>
            </w:r>
            <w:r w:rsidR="00740964" w:rsidRPr="00831E7A">
              <w:rPr>
                <w:rFonts w:ascii="Arial Narrow" w:hAnsi="Arial Narrow" w:cs="Arial"/>
                <w:color w:val="000000"/>
                <w:sz w:val="24"/>
                <w:szCs w:val="24"/>
                <w:lang w:eastAsia="cs-CZ"/>
              </w:rPr>
              <w:t xml:space="preserve"> pro připojení do JTS</w:t>
            </w:r>
          </w:p>
        </w:tc>
      </w:tr>
      <w:tr w:rsidR="002E0FED" w:rsidRPr="00831E7A" w14:paraId="0554A7B0" w14:textId="77777777" w:rsidTr="004D210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377" w14:textId="77777777" w:rsidR="002E0FED" w:rsidRPr="00831E7A" w:rsidRDefault="002E0FED" w:rsidP="002E0FED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6968" w14:textId="77777777" w:rsidR="002E0FED" w:rsidRPr="00831E7A" w:rsidRDefault="002E0FED" w:rsidP="002E0FED">
            <w:pPr>
              <w:suppressAutoHyphens w:val="0"/>
              <w:rPr>
                <w:rFonts w:ascii="Arial Narrow" w:hAnsi="Arial Narrow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9812" w14:textId="77777777" w:rsidR="002E0FED" w:rsidRPr="00831E7A" w:rsidRDefault="002E0FED" w:rsidP="002E0FED">
            <w:pPr>
              <w:suppressAutoHyphens w:val="0"/>
              <w:rPr>
                <w:rFonts w:ascii="Arial Narrow" w:hAnsi="Arial Narrow"/>
                <w:sz w:val="24"/>
                <w:szCs w:val="24"/>
                <w:lang w:eastAsia="cs-CZ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8A37B" w14:textId="77777777" w:rsidR="002E0FED" w:rsidRPr="00831E7A" w:rsidRDefault="002E0FED" w:rsidP="002E0FED">
            <w:pPr>
              <w:suppressAutoHyphens w:val="0"/>
              <w:rPr>
                <w:rFonts w:ascii="Arial Narrow" w:hAnsi="Arial Narrow"/>
                <w:sz w:val="24"/>
                <w:szCs w:val="24"/>
                <w:lang w:eastAsia="cs-CZ"/>
              </w:rPr>
            </w:pPr>
          </w:p>
        </w:tc>
      </w:tr>
    </w:tbl>
    <w:p w14:paraId="70EB21F1" w14:textId="24054EA5" w:rsidR="000A7E72" w:rsidRPr="000A7E72" w:rsidRDefault="000A7E72" w:rsidP="000A7E72">
      <w:pPr>
        <w:jc w:val="both"/>
        <w:rPr>
          <w:rFonts w:ascii="Arial Narrow" w:hAnsi="Arial Narrow"/>
          <w:sz w:val="24"/>
          <w:szCs w:val="24"/>
          <w:lang w:eastAsia="en-US"/>
        </w:rPr>
      </w:pPr>
      <w:r w:rsidRPr="000A7E72">
        <w:rPr>
          <w:rFonts w:ascii="Arial Narrow" w:hAnsi="Arial Narrow"/>
          <w:sz w:val="24"/>
          <w:szCs w:val="24"/>
        </w:rPr>
        <w:t xml:space="preserve">Specifikace obsahuje požadavek na dodání konkrétního výrobku. Toto je nutné pro zajištění kompatibility nově dodávaného zařízení se současnou telefonní sítí na </w:t>
      </w:r>
      <w:r w:rsidR="00EA6015">
        <w:rPr>
          <w:rFonts w:ascii="Arial Narrow" w:hAnsi="Arial Narrow"/>
          <w:sz w:val="24"/>
          <w:szCs w:val="24"/>
        </w:rPr>
        <w:t>Ostravské univerzitě</w:t>
      </w:r>
      <w:r w:rsidR="004A26F5">
        <w:rPr>
          <w:rFonts w:ascii="Arial Narrow" w:hAnsi="Arial Narrow"/>
          <w:sz w:val="24"/>
          <w:szCs w:val="24"/>
        </w:rPr>
        <w:t xml:space="preserve"> (dále jen „OU“)</w:t>
      </w:r>
      <w:r w:rsidRPr="000A7E72">
        <w:rPr>
          <w:rFonts w:ascii="Arial Narrow" w:hAnsi="Arial Narrow"/>
          <w:sz w:val="24"/>
          <w:szCs w:val="24"/>
        </w:rPr>
        <w:t xml:space="preserve"> včetně centrální telefonní ústředny. Cílem je ochrana vložených investic </w:t>
      </w:r>
      <w:r w:rsidR="00EA6015">
        <w:rPr>
          <w:rFonts w:ascii="Arial Narrow" w:hAnsi="Arial Narrow"/>
          <w:sz w:val="24"/>
          <w:szCs w:val="24"/>
        </w:rPr>
        <w:t>O</w:t>
      </w:r>
      <w:r w:rsidR="004A26F5">
        <w:rPr>
          <w:rFonts w:ascii="Arial Narrow" w:hAnsi="Arial Narrow"/>
          <w:sz w:val="24"/>
          <w:szCs w:val="24"/>
        </w:rPr>
        <w:t>U</w:t>
      </w:r>
      <w:r w:rsidRPr="000A7E72">
        <w:rPr>
          <w:rFonts w:ascii="Arial Narrow" w:hAnsi="Arial Narrow"/>
          <w:sz w:val="24"/>
          <w:szCs w:val="24"/>
        </w:rPr>
        <w:t xml:space="preserve"> do komunikačních technologií, zajištění kompatibility nově připojovaného zařízení se stávajícím řešením a optimálního využití ostatních provozovaných nástavbových systémů doplňujících funkcionality telefonní sítě univerzity.</w:t>
      </w:r>
    </w:p>
    <w:p w14:paraId="7D47F9B7" w14:textId="77777777" w:rsidR="000A7E72" w:rsidRDefault="000A7E72" w:rsidP="004A6878">
      <w:pPr>
        <w:pStyle w:val="Bezmezer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39F4279C" w14:textId="4BF5AF00" w:rsidR="004A6878" w:rsidRPr="00CD680D" w:rsidRDefault="004A6878" w:rsidP="004A6878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 w:cstheme="minorHAnsi"/>
          <w:b/>
          <w:sz w:val="24"/>
          <w:szCs w:val="24"/>
        </w:rPr>
        <w:t>Ostatní podmínky</w:t>
      </w:r>
      <w:r w:rsidRPr="00CD680D">
        <w:rPr>
          <w:rFonts w:ascii="Arial Narrow" w:hAnsi="Arial Narrow" w:cstheme="minorHAnsi"/>
          <w:b/>
          <w:sz w:val="24"/>
          <w:szCs w:val="24"/>
          <w:lang w:val="en-US"/>
        </w:rPr>
        <w:t>:</w:t>
      </w:r>
    </w:p>
    <w:p w14:paraId="21AC7E72" w14:textId="2C8949FA" w:rsidR="004A6878" w:rsidRPr="00CD680D" w:rsidRDefault="004A6878" w:rsidP="004A6878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Dodávka musí obsahovat kompletní dodávku výše uvedených komponent</w:t>
      </w:r>
      <w:r w:rsidR="00F10D39" w:rsidRPr="00CD680D">
        <w:rPr>
          <w:rFonts w:ascii="Arial Narrow" w:hAnsi="Arial Narrow"/>
          <w:sz w:val="24"/>
          <w:szCs w:val="24"/>
        </w:rPr>
        <w:t>, dopravu na místo instalace, kompletní sestavení a konfiguraci.</w:t>
      </w:r>
    </w:p>
    <w:p w14:paraId="390FE29D" w14:textId="77777777" w:rsidR="00246C3B" w:rsidRPr="00CD680D" w:rsidRDefault="00F10D39" w:rsidP="004A6878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Dodávka musí obsahova</w:t>
      </w:r>
      <w:r w:rsidR="00246C3B" w:rsidRPr="00CD680D">
        <w:rPr>
          <w:rFonts w:ascii="Arial Narrow" w:hAnsi="Arial Narrow"/>
          <w:sz w:val="24"/>
          <w:szCs w:val="24"/>
        </w:rPr>
        <w:t>t konfiguraci v rozsahu:</w:t>
      </w:r>
    </w:p>
    <w:p w14:paraId="7D8A028F" w14:textId="4FEEAC8B" w:rsidR="00246C3B" w:rsidRPr="00CD680D" w:rsidRDefault="00246C3B" w:rsidP="00246C3B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konfigurace a nastavení dodávaných systémů a aplikací dle požadavků zákazníka,</w:t>
      </w:r>
    </w:p>
    <w:p w14:paraId="329128FA" w14:textId="125E33DB" w:rsidR="00246C3B" w:rsidRPr="00CD680D" w:rsidRDefault="00246C3B" w:rsidP="00246C3B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import uživatelských dat,</w:t>
      </w:r>
    </w:p>
    <w:p w14:paraId="444CF472" w14:textId="1880F9B3" w:rsidR="00F10D39" w:rsidRPr="00CD680D" w:rsidRDefault="00246C3B" w:rsidP="00246C3B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aplikační napojení na infrastrukturu zákazníka přes standardizovaná rozhraní.</w:t>
      </w:r>
    </w:p>
    <w:p w14:paraId="1178810C" w14:textId="4A037435" w:rsidR="00246C3B" w:rsidRPr="00CD680D" w:rsidRDefault="00246C3B" w:rsidP="00246C3B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Součástí dodávky musí být dokumentace v rozsahu:</w:t>
      </w:r>
    </w:p>
    <w:p w14:paraId="2E2D5AB7" w14:textId="1F88B0EA" w:rsidR="00246C3B" w:rsidRPr="00CD680D" w:rsidRDefault="00246C3B" w:rsidP="00246C3B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detailní technická dokumentace pro instalaci dodávaného řešení,</w:t>
      </w:r>
    </w:p>
    <w:p w14:paraId="3C0369F0" w14:textId="388AB496" w:rsidR="00246C3B" w:rsidRPr="00CD680D" w:rsidRDefault="00246C3B" w:rsidP="00246C3B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detailní technická dokumentace skutečného nainstalovaného řešení.</w:t>
      </w:r>
    </w:p>
    <w:p w14:paraId="4B131EFE" w14:textId="6B3FD3AE" w:rsidR="00246C3B" w:rsidRPr="00B36FBA" w:rsidRDefault="00246C3B" w:rsidP="00246C3B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B36FBA">
        <w:rPr>
          <w:rFonts w:ascii="Arial Narrow" w:hAnsi="Arial Narrow"/>
          <w:sz w:val="24"/>
          <w:szCs w:val="24"/>
        </w:rPr>
        <w:t xml:space="preserve">Součástí dodávky musí být zaškolení správců (v počtu </w:t>
      </w:r>
      <w:r w:rsidR="00F06958" w:rsidRPr="00B36FBA">
        <w:rPr>
          <w:rFonts w:ascii="Arial Narrow" w:hAnsi="Arial Narrow"/>
          <w:sz w:val="24"/>
          <w:szCs w:val="24"/>
        </w:rPr>
        <w:t>3</w:t>
      </w:r>
      <w:r w:rsidRPr="00B36FBA">
        <w:rPr>
          <w:rFonts w:ascii="Arial Narrow" w:hAnsi="Arial Narrow"/>
          <w:sz w:val="24"/>
          <w:szCs w:val="24"/>
        </w:rPr>
        <w:t xml:space="preserve"> osob) v rozsahu min </w:t>
      </w:r>
      <w:r w:rsidR="00F06958" w:rsidRPr="00B36FBA">
        <w:rPr>
          <w:rFonts w:ascii="Arial Narrow" w:hAnsi="Arial Narrow"/>
          <w:sz w:val="24"/>
          <w:szCs w:val="24"/>
        </w:rPr>
        <w:t>16</w:t>
      </w:r>
      <w:r w:rsidRPr="00B36FBA">
        <w:rPr>
          <w:rFonts w:ascii="Arial Narrow" w:hAnsi="Arial Narrow"/>
          <w:sz w:val="24"/>
          <w:szCs w:val="24"/>
        </w:rPr>
        <w:t xml:space="preserve"> hodin.</w:t>
      </w:r>
    </w:p>
    <w:p w14:paraId="54419F05" w14:textId="54C272B5" w:rsidR="00F10D39" w:rsidRPr="00CD680D" w:rsidRDefault="00F10D39" w:rsidP="004A6878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lastRenderedPageBreak/>
        <w:t xml:space="preserve">Dodávka musí obsahovat odzkoušení provozu a </w:t>
      </w:r>
      <w:r w:rsidR="00894882" w:rsidRPr="00CD680D">
        <w:rPr>
          <w:rFonts w:ascii="Arial Narrow" w:hAnsi="Arial Narrow"/>
          <w:sz w:val="24"/>
          <w:szCs w:val="24"/>
        </w:rPr>
        <w:t>provedení akceptačních testů, které jsou specifikovány dále. Výsledek akceptačních testů bude zaznamenán do protokolu s podpisem oprávněn</w:t>
      </w:r>
      <w:r w:rsidR="00DD24AF" w:rsidRPr="00CD680D">
        <w:rPr>
          <w:rFonts w:ascii="Arial Narrow" w:hAnsi="Arial Narrow"/>
          <w:sz w:val="24"/>
          <w:szCs w:val="24"/>
        </w:rPr>
        <w:t>ých</w:t>
      </w:r>
      <w:r w:rsidR="00894882" w:rsidRPr="00CD680D">
        <w:rPr>
          <w:rFonts w:ascii="Arial Narrow" w:hAnsi="Arial Narrow"/>
          <w:sz w:val="24"/>
          <w:szCs w:val="24"/>
        </w:rPr>
        <w:t xml:space="preserve"> osob</w:t>
      </w:r>
      <w:r w:rsidR="00DD24AF" w:rsidRPr="00CD680D">
        <w:rPr>
          <w:rFonts w:ascii="Arial Narrow" w:hAnsi="Arial Narrow"/>
          <w:sz w:val="24"/>
          <w:szCs w:val="24"/>
        </w:rPr>
        <w:t xml:space="preserve"> (za dodavatele a za odběratele)</w:t>
      </w:r>
      <w:r w:rsidR="00894882" w:rsidRPr="00CD680D">
        <w:rPr>
          <w:rFonts w:ascii="Arial Narrow" w:hAnsi="Arial Narrow"/>
          <w:sz w:val="24"/>
          <w:szCs w:val="24"/>
        </w:rPr>
        <w:t>.</w:t>
      </w:r>
    </w:p>
    <w:p w14:paraId="2863D8A8" w14:textId="1D90EDB9" w:rsidR="002877FC" w:rsidRPr="00CD680D" w:rsidRDefault="002877FC" w:rsidP="004A6878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Dodávka musí obsahovat řízení projektu:</w:t>
      </w:r>
    </w:p>
    <w:p w14:paraId="77ED9336" w14:textId="33656E7E" w:rsidR="002877FC" w:rsidRPr="00CD680D" w:rsidRDefault="002877FC" w:rsidP="002877FC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jeden komunikační partner pro zákazníka,</w:t>
      </w:r>
    </w:p>
    <w:p w14:paraId="7035668A" w14:textId="122EDE1D" w:rsidR="002877FC" w:rsidRPr="00CD680D" w:rsidRDefault="002877FC" w:rsidP="002877FC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koordinace termínů zaškolení, předání dat, termínů instalace,</w:t>
      </w:r>
    </w:p>
    <w:p w14:paraId="4BABB9F0" w14:textId="2B0BB649" w:rsidR="002877FC" w:rsidRPr="00CD680D" w:rsidRDefault="002877FC" w:rsidP="002877FC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řízení implementačních a integračních prací,</w:t>
      </w:r>
    </w:p>
    <w:p w14:paraId="16090521" w14:textId="7B5CC763" w:rsidR="002877FC" w:rsidRPr="00CD680D" w:rsidRDefault="002877FC" w:rsidP="002877FC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řešení nejasností a problémů v implementační fázi,</w:t>
      </w:r>
    </w:p>
    <w:p w14:paraId="0489DAC1" w14:textId="315A1C00" w:rsidR="002877FC" w:rsidRPr="00CD680D" w:rsidRDefault="002877FC" w:rsidP="002877FC">
      <w:pPr>
        <w:pStyle w:val="Odstavecseseznamem"/>
        <w:numPr>
          <w:ilvl w:val="1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předání projektu do užívání.</w:t>
      </w:r>
    </w:p>
    <w:p w14:paraId="0C9C1F0E" w14:textId="77777777" w:rsidR="004A6878" w:rsidRPr="00CD680D" w:rsidRDefault="004A6878" w:rsidP="004A6878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CD680D">
        <w:rPr>
          <w:rFonts w:ascii="Arial Narrow" w:hAnsi="Arial Narrow"/>
          <w:sz w:val="24"/>
          <w:szCs w:val="24"/>
        </w:rPr>
        <w:t>Dodávka musí obsahovat veškeré potřebné licence pro splnění požadovaných vlastností a parametrů.</w:t>
      </w:r>
    </w:p>
    <w:p w14:paraId="4C3A2D67" w14:textId="41CBFD56" w:rsidR="009E0867" w:rsidRPr="00CD680D" w:rsidRDefault="004F65CC" w:rsidP="005C2BB6">
      <w:pPr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CD680D">
        <w:rPr>
          <w:rFonts w:ascii="Arial Narrow" w:hAnsi="Arial Narrow" w:cstheme="minorHAnsi"/>
          <w:sz w:val="24"/>
          <w:szCs w:val="24"/>
        </w:rPr>
        <w:t xml:space="preserve">Je požadována </w:t>
      </w:r>
      <w:r w:rsidR="005C2BB6" w:rsidRPr="00CD680D">
        <w:rPr>
          <w:rFonts w:ascii="Arial Narrow" w:hAnsi="Arial Narrow" w:cstheme="minorHAnsi"/>
          <w:sz w:val="24"/>
          <w:szCs w:val="24"/>
        </w:rPr>
        <w:t>servisní po</w:t>
      </w:r>
      <w:r w:rsidR="00F87A20" w:rsidRPr="00CD680D">
        <w:rPr>
          <w:rFonts w:ascii="Arial Narrow" w:hAnsi="Arial Narrow" w:cstheme="minorHAnsi"/>
          <w:sz w:val="24"/>
          <w:szCs w:val="24"/>
        </w:rPr>
        <w:t>d</w:t>
      </w:r>
      <w:r w:rsidR="005C2BB6" w:rsidRPr="00CD680D">
        <w:rPr>
          <w:rFonts w:ascii="Arial Narrow" w:hAnsi="Arial Narrow" w:cstheme="minorHAnsi"/>
          <w:sz w:val="24"/>
          <w:szCs w:val="24"/>
        </w:rPr>
        <w:t xml:space="preserve">pora </w:t>
      </w:r>
      <w:r w:rsidRPr="00CD680D">
        <w:rPr>
          <w:rFonts w:ascii="Arial Narrow" w:hAnsi="Arial Narrow" w:cstheme="minorHAnsi"/>
          <w:sz w:val="24"/>
          <w:szCs w:val="24"/>
        </w:rPr>
        <w:t xml:space="preserve">na software a hardware se servisem v místě instalace do dalšího pracovního dne (NBD) po oznámení poruchy v minimální délce </w:t>
      </w:r>
      <w:r w:rsidR="00C07899" w:rsidRPr="00CD680D">
        <w:rPr>
          <w:rFonts w:ascii="Arial Narrow" w:hAnsi="Arial Narrow" w:cstheme="minorHAnsi"/>
          <w:sz w:val="24"/>
          <w:szCs w:val="24"/>
        </w:rPr>
        <w:t xml:space="preserve">24 </w:t>
      </w:r>
      <w:r w:rsidRPr="00CD680D">
        <w:rPr>
          <w:rFonts w:ascii="Arial Narrow" w:hAnsi="Arial Narrow" w:cstheme="minorHAnsi"/>
          <w:sz w:val="24"/>
          <w:szCs w:val="24"/>
        </w:rPr>
        <w:t xml:space="preserve">měsíců. Tato </w:t>
      </w:r>
      <w:r w:rsidR="005C2BB6" w:rsidRPr="00CD680D">
        <w:rPr>
          <w:rFonts w:ascii="Arial Narrow" w:hAnsi="Arial Narrow" w:cstheme="minorHAnsi"/>
          <w:sz w:val="24"/>
          <w:szCs w:val="24"/>
        </w:rPr>
        <w:t xml:space="preserve">servisní podpora </w:t>
      </w:r>
      <w:r w:rsidRPr="00CD680D">
        <w:rPr>
          <w:rFonts w:ascii="Arial Narrow" w:hAnsi="Arial Narrow" w:cstheme="minorHAnsi"/>
          <w:sz w:val="24"/>
          <w:szCs w:val="24"/>
        </w:rPr>
        <w:t>musí být garantovaná dodavatelem nebo výrobcem zařízení</w:t>
      </w:r>
      <w:r w:rsidR="00BC1973">
        <w:rPr>
          <w:rFonts w:ascii="Arial Narrow" w:hAnsi="Arial Narrow" w:cstheme="minorHAnsi"/>
          <w:sz w:val="24"/>
          <w:szCs w:val="24"/>
        </w:rPr>
        <w:t xml:space="preserve">. Prodávající za tímto účelem předloží kupujícímu před zahájením plnění certifikát či prohlášení výrobce </w:t>
      </w:r>
      <w:r w:rsidR="00D1744C">
        <w:rPr>
          <w:rFonts w:ascii="Arial Narrow" w:hAnsi="Arial Narrow" w:cstheme="minorHAnsi"/>
          <w:sz w:val="24"/>
          <w:szCs w:val="24"/>
        </w:rPr>
        <w:t xml:space="preserve">(v listinném či elektronickém originálu či z těchto originálů úředně zkonvertováno) </w:t>
      </w:r>
      <w:r w:rsidR="00BC1973">
        <w:rPr>
          <w:rFonts w:ascii="Arial Narrow" w:hAnsi="Arial Narrow" w:cstheme="minorHAnsi"/>
          <w:sz w:val="24"/>
          <w:szCs w:val="24"/>
        </w:rPr>
        <w:t>a</w:t>
      </w:r>
      <w:r w:rsidRPr="00CD680D">
        <w:rPr>
          <w:rFonts w:ascii="Arial Narrow" w:hAnsi="Arial Narrow" w:cstheme="minorHAnsi"/>
          <w:sz w:val="24"/>
          <w:szCs w:val="24"/>
        </w:rPr>
        <w:t xml:space="preserve"> </w:t>
      </w:r>
      <w:r w:rsidR="00BC1973">
        <w:rPr>
          <w:rFonts w:ascii="Arial Narrow" w:hAnsi="Arial Narrow" w:cstheme="minorHAnsi"/>
          <w:sz w:val="24"/>
          <w:szCs w:val="24"/>
        </w:rPr>
        <w:t xml:space="preserve">provede </w:t>
      </w:r>
      <w:r w:rsidR="00BC1973" w:rsidRPr="00CD680D">
        <w:rPr>
          <w:rFonts w:ascii="Arial Narrow" w:hAnsi="Arial Narrow" w:cstheme="minorHAnsi"/>
          <w:sz w:val="24"/>
          <w:szCs w:val="24"/>
        </w:rPr>
        <w:t>registr</w:t>
      </w:r>
      <w:r w:rsidR="00BC1973">
        <w:rPr>
          <w:rFonts w:ascii="Arial Narrow" w:hAnsi="Arial Narrow" w:cstheme="minorHAnsi"/>
          <w:sz w:val="24"/>
          <w:szCs w:val="24"/>
        </w:rPr>
        <w:t xml:space="preserve">aci </w:t>
      </w:r>
      <w:r w:rsidR="008F5CD4" w:rsidRPr="00CD680D">
        <w:rPr>
          <w:rFonts w:ascii="Arial Narrow" w:hAnsi="Arial Narrow" w:cstheme="minorHAnsi"/>
          <w:sz w:val="24"/>
          <w:szCs w:val="24"/>
        </w:rPr>
        <w:t xml:space="preserve">servisní podpory </w:t>
      </w:r>
      <w:r w:rsidRPr="00CD680D">
        <w:rPr>
          <w:rFonts w:ascii="Arial Narrow" w:hAnsi="Arial Narrow" w:cstheme="minorHAnsi"/>
          <w:sz w:val="24"/>
          <w:szCs w:val="24"/>
        </w:rPr>
        <w:t>u výrobce pro OU</w:t>
      </w:r>
      <w:r w:rsidR="00BC1973">
        <w:rPr>
          <w:rFonts w:ascii="Arial Narrow" w:hAnsi="Arial Narrow" w:cstheme="minorHAnsi"/>
          <w:sz w:val="24"/>
          <w:szCs w:val="24"/>
        </w:rPr>
        <w:t xml:space="preserve"> s tím, že kupující bude mít možnost si provedení této registrace ověřit</w:t>
      </w:r>
      <w:r w:rsidRPr="00CD680D">
        <w:rPr>
          <w:rFonts w:ascii="Arial Narrow" w:hAnsi="Arial Narrow" w:cstheme="minorHAnsi"/>
          <w:sz w:val="24"/>
          <w:szCs w:val="24"/>
        </w:rPr>
        <w:t>.</w:t>
      </w:r>
    </w:p>
    <w:p w14:paraId="5376FB1A" w14:textId="77777777" w:rsidR="00894882" w:rsidRPr="00CD680D" w:rsidRDefault="00894882" w:rsidP="00894882">
      <w:pPr>
        <w:pStyle w:val="Bezmezer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117E9B0F" w14:textId="1F18A426" w:rsidR="00894882" w:rsidRPr="00CD680D" w:rsidRDefault="00894882" w:rsidP="00894882">
      <w:pPr>
        <w:pStyle w:val="Bezmezer"/>
        <w:jc w:val="both"/>
        <w:rPr>
          <w:rFonts w:ascii="Arial Narrow" w:hAnsi="Arial Narrow" w:cstheme="minorHAnsi"/>
          <w:b/>
          <w:sz w:val="24"/>
          <w:szCs w:val="24"/>
          <w:lang w:val="en-US"/>
        </w:rPr>
      </w:pPr>
      <w:r w:rsidRPr="00CD680D">
        <w:rPr>
          <w:rFonts w:ascii="Arial Narrow" w:hAnsi="Arial Narrow" w:cstheme="minorHAnsi"/>
          <w:b/>
          <w:sz w:val="24"/>
          <w:szCs w:val="24"/>
        </w:rPr>
        <w:t>Poznámky</w:t>
      </w:r>
      <w:r w:rsidRPr="00CD680D">
        <w:rPr>
          <w:rFonts w:ascii="Arial Narrow" w:hAnsi="Arial Narrow" w:cstheme="minorHAnsi"/>
          <w:b/>
          <w:sz w:val="24"/>
          <w:szCs w:val="24"/>
          <w:lang w:val="en-US"/>
        </w:rPr>
        <w:t>:</w:t>
      </w:r>
    </w:p>
    <w:p w14:paraId="226D6BED" w14:textId="137F2332" w:rsidR="00894882" w:rsidRPr="00CD680D" w:rsidRDefault="00894882" w:rsidP="00894882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CD680D">
        <w:rPr>
          <w:rFonts w:ascii="Arial Narrow" w:hAnsi="Arial Narrow" w:cstheme="minorHAnsi"/>
          <w:sz w:val="24"/>
          <w:szCs w:val="24"/>
        </w:rPr>
        <w:t xml:space="preserve">Tarifikační program ani program pro správu </w:t>
      </w:r>
      <w:r w:rsidR="00DE34D5" w:rsidRPr="00CD680D">
        <w:rPr>
          <w:rFonts w:ascii="Arial Narrow" w:hAnsi="Arial Narrow" w:cstheme="minorHAnsi"/>
          <w:sz w:val="24"/>
          <w:szCs w:val="24"/>
        </w:rPr>
        <w:t>zařízení</w:t>
      </w:r>
      <w:r w:rsidRPr="00CD680D">
        <w:rPr>
          <w:rFonts w:ascii="Arial Narrow" w:hAnsi="Arial Narrow" w:cstheme="minorHAnsi"/>
          <w:sz w:val="24"/>
          <w:szCs w:val="24"/>
        </w:rPr>
        <w:t xml:space="preserve"> není v rámci dodávky požadován.</w:t>
      </w:r>
    </w:p>
    <w:p w14:paraId="6064B86B" w14:textId="2C878F02" w:rsidR="00894882" w:rsidRPr="00CD680D" w:rsidRDefault="00894882" w:rsidP="00894882">
      <w:pPr>
        <w:pStyle w:val="Odstavecseseznamem"/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CD680D">
        <w:rPr>
          <w:rFonts w:ascii="Arial Narrow" w:hAnsi="Arial Narrow" w:cstheme="minorHAnsi"/>
          <w:sz w:val="24"/>
          <w:szCs w:val="24"/>
        </w:rPr>
        <w:t xml:space="preserve">Pozáruční servis </w:t>
      </w:r>
      <w:r w:rsidR="00DE34D5" w:rsidRPr="00CD680D">
        <w:rPr>
          <w:rFonts w:ascii="Arial Narrow" w:hAnsi="Arial Narrow" w:cstheme="minorHAnsi"/>
          <w:sz w:val="24"/>
          <w:szCs w:val="24"/>
        </w:rPr>
        <w:t>zařízení</w:t>
      </w:r>
      <w:r w:rsidRPr="00CD680D">
        <w:rPr>
          <w:rFonts w:ascii="Arial Narrow" w:hAnsi="Arial Narrow" w:cstheme="minorHAnsi"/>
          <w:sz w:val="24"/>
          <w:szCs w:val="24"/>
        </w:rPr>
        <w:t xml:space="preserve"> není v rámci dodávky požadován.</w:t>
      </w:r>
    </w:p>
    <w:p w14:paraId="23AD5723" w14:textId="4BF49EE0" w:rsidR="002E0FED" w:rsidRPr="000A7E72" w:rsidRDefault="002E0FED" w:rsidP="00894882">
      <w:pPr>
        <w:pStyle w:val="Odstavecseseznamem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14:paraId="70B3266F" w14:textId="77777777" w:rsidR="00894882" w:rsidRPr="000A7E72" w:rsidRDefault="00894882" w:rsidP="00894882">
      <w:pPr>
        <w:pStyle w:val="Odstavecseseznamem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14:paraId="726E9665" w14:textId="77777777" w:rsidR="00894882" w:rsidRPr="000A7E72" w:rsidRDefault="00894882" w:rsidP="00894882">
      <w:pPr>
        <w:pStyle w:val="Odstavecseseznamem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14:paraId="027FC3F5" w14:textId="77777777" w:rsidR="002E0FED" w:rsidRPr="000A7E72" w:rsidRDefault="002E0FED" w:rsidP="002E0FED">
      <w:pPr>
        <w:rPr>
          <w:rFonts w:ascii="Arial Narrow" w:hAnsi="Arial Narrow"/>
          <w:sz w:val="24"/>
          <w:szCs w:val="24"/>
        </w:rPr>
      </w:pPr>
    </w:p>
    <w:p w14:paraId="5AB2238A" w14:textId="53F8C995" w:rsidR="00121DE3" w:rsidRPr="000A7E72" w:rsidRDefault="00121DE3" w:rsidP="00121DE3">
      <w:pPr>
        <w:rPr>
          <w:rFonts w:ascii="Arial Narrow" w:hAnsi="Arial Narrow"/>
          <w:sz w:val="24"/>
          <w:szCs w:val="24"/>
        </w:rPr>
      </w:pP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  <w:r w:rsidRPr="000A7E72">
        <w:rPr>
          <w:rFonts w:ascii="Arial Narrow" w:hAnsi="Arial Narrow"/>
          <w:sz w:val="24"/>
          <w:szCs w:val="24"/>
        </w:rPr>
        <w:softHyphen/>
      </w:r>
    </w:p>
    <w:p w14:paraId="4487018E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3FA1B338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7CB47266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5636064B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13C286C7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6687C144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1C6253DF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213624EE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148B1B90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09B59DF0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0C88B2D2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1B1E9D51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2A67388A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3765B549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1C92EA73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627DBCEE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1EDA28DC" w14:textId="77777777" w:rsidR="00D67384" w:rsidRDefault="00D67384" w:rsidP="00121DE3">
      <w:pPr>
        <w:ind w:left="708"/>
        <w:rPr>
          <w:rFonts w:ascii="Arial Narrow" w:hAnsi="Arial Narrow" w:cs="Arial"/>
          <w:b/>
          <w:sz w:val="24"/>
          <w:szCs w:val="24"/>
        </w:rPr>
      </w:pPr>
    </w:p>
    <w:p w14:paraId="763CB259" w14:textId="77777777" w:rsidR="007F44F6" w:rsidRDefault="007F44F6" w:rsidP="000D4F4B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6CCBAA3" w14:textId="77777777" w:rsidR="003B6B61" w:rsidRDefault="003B6B61" w:rsidP="000D4F4B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635D29B" w14:textId="3976349A" w:rsidR="00121DE3" w:rsidRPr="000D4F4B" w:rsidRDefault="000D4F4B" w:rsidP="000D4F4B">
      <w:pPr>
        <w:jc w:val="both"/>
        <w:rPr>
          <w:rFonts w:ascii="Arial Narrow" w:hAnsi="Arial Narrow" w:cs="Arial"/>
          <w:b/>
          <w:sz w:val="28"/>
          <w:szCs w:val="28"/>
        </w:rPr>
      </w:pPr>
      <w:r w:rsidRPr="000D4F4B">
        <w:rPr>
          <w:rFonts w:ascii="Arial Narrow" w:hAnsi="Arial Narrow" w:cs="Arial"/>
          <w:b/>
          <w:sz w:val="28"/>
          <w:szCs w:val="28"/>
        </w:rPr>
        <w:lastRenderedPageBreak/>
        <w:t xml:space="preserve">Příloha č. 2 - </w:t>
      </w:r>
      <w:r w:rsidR="00121DE3" w:rsidRPr="000D4F4B">
        <w:rPr>
          <w:rFonts w:ascii="Arial Narrow" w:hAnsi="Arial Narrow" w:cs="Arial"/>
          <w:b/>
          <w:sz w:val="28"/>
          <w:szCs w:val="28"/>
        </w:rPr>
        <w:t>Akceptační protokol pro integraci nové telefonní pobočkové ústředny do telekomunikační sítě OU</w:t>
      </w:r>
    </w:p>
    <w:p w14:paraId="19DD5250" w14:textId="77777777" w:rsidR="00121DE3" w:rsidRPr="000A7E72" w:rsidRDefault="00121DE3" w:rsidP="00121DE3">
      <w:pPr>
        <w:rPr>
          <w:rFonts w:ascii="Arial Narrow" w:hAnsi="Arial Narrow" w:cs="Arial"/>
          <w:b/>
          <w:sz w:val="24"/>
          <w:szCs w:val="24"/>
        </w:rPr>
      </w:pP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  <w:r w:rsidRPr="000A7E72">
        <w:rPr>
          <w:rFonts w:ascii="Arial Narrow" w:hAnsi="Arial Narrow" w:cs="Arial"/>
          <w:b/>
          <w:sz w:val="24"/>
          <w:szCs w:val="24"/>
        </w:rPr>
        <w:tab/>
      </w:r>
    </w:p>
    <w:p w14:paraId="0E9E9F33" w14:textId="77777777" w:rsidR="00127027" w:rsidRDefault="00121DE3" w:rsidP="00127027">
      <w:pPr>
        <w:rPr>
          <w:rFonts w:ascii="Arial Narrow" w:hAnsi="Arial Narrow" w:cs="Arial"/>
          <w:b/>
          <w:sz w:val="24"/>
          <w:szCs w:val="24"/>
        </w:rPr>
      </w:pPr>
      <w:r w:rsidRPr="000A7E72">
        <w:rPr>
          <w:rFonts w:ascii="Arial Narrow" w:hAnsi="Arial Narrow" w:cs="Arial"/>
          <w:b/>
          <w:sz w:val="24"/>
          <w:szCs w:val="24"/>
        </w:rPr>
        <w:t>Úvodní ustanovení</w:t>
      </w:r>
    </w:p>
    <w:p w14:paraId="000A2BFD" w14:textId="29F09C08" w:rsidR="00121DE3" w:rsidRPr="00127027" w:rsidRDefault="00121DE3" w:rsidP="006F4F38">
      <w:pPr>
        <w:jc w:val="both"/>
        <w:rPr>
          <w:rFonts w:ascii="Arial Narrow" w:hAnsi="Arial Narrow" w:cs="Arial"/>
          <w:b/>
          <w:sz w:val="24"/>
          <w:szCs w:val="24"/>
        </w:rPr>
      </w:pPr>
      <w:r w:rsidRPr="000A7E72">
        <w:rPr>
          <w:rFonts w:ascii="Arial Narrow" w:hAnsi="Arial Narrow" w:cs="Arial"/>
          <w:sz w:val="24"/>
          <w:szCs w:val="24"/>
        </w:rPr>
        <w:t>Dodavatel potvrdí seznámení s akceptačním protokolem před instalací a připojením nově dodávané pobočkové ústředny (dále jen PBX) do telefonní sítě zadavatele, kdy bez splnění jeho podmínek není možno novou telefonní ústřednu připojit. Akceptační protokol se stává součástí zápisu o převzetí ústředny připojované do komunikační sítě zadavatele (dále jen „OU“). Cílem akceptačního protokolu je ochrana vložených investic OU do komunikačních technologií, zajištění kompatibility nově připojované PBX se stávajícím řešením a optimálního využití ostatních provozovaných nástavbových systémů doplňujících funkcionality sítě PBX univerzity (jako je dohledový systém UPS, účtování hovorného, sledování provozu, hlasové pošty VMS, záznam hovorů, centrální databáze uživatelů, mobilita teminálů a osob mezi lokalitami, atd ...).</w:t>
      </w:r>
    </w:p>
    <w:p w14:paraId="2146424F" w14:textId="77777777" w:rsidR="00121DE3" w:rsidRPr="000A7E72" w:rsidRDefault="00121DE3" w:rsidP="00121DE3">
      <w:pPr>
        <w:rPr>
          <w:rFonts w:ascii="Arial Narrow" w:hAnsi="Arial Narrow" w:cs="Arial"/>
          <w:sz w:val="24"/>
          <w:szCs w:val="24"/>
        </w:rPr>
      </w:pPr>
    </w:p>
    <w:p w14:paraId="1F6A896C" w14:textId="77777777" w:rsidR="00121DE3" w:rsidRPr="000A7E72" w:rsidRDefault="00121DE3" w:rsidP="00121DE3">
      <w:pPr>
        <w:rPr>
          <w:rFonts w:ascii="Arial Narrow" w:hAnsi="Arial Narrow" w:cs="Arial"/>
          <w:sz w:val="24"/>
          <w:szCs w:val="24"/>
        </w:rPr>
      </w:pPr>
      <w:r w:rsidRPr="000A7E72">
        <w:rPr>
          <w:rFonts w:ascii="Arial Narrow" w:hAnsi="Arial Narrow" w:cs="Arial"/>
          <w:sz w:val="24"/>
          <w:szCs w:val="24"/>
        </w:rPr>
        <w:t>Akceptační testy při předání</w:t>
      </w:r>
    </w:p>
    <w:p w14:paraId="5526C89A" w14:textId="77777777" w:rsidR="00121DE3" w:rsidRPr="000A7E72" w:rsidRDefault="00121DE3" w:rsidP="00121DE3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A7E72">
        <w:rPr>
          <w:rFonts w:ascii="Arial Narrow" w:hAnsi="Arial Narrow" w:cs="Arial"/>
          <w:sz w:val="24"/>
          <w:szCs w:val="24"/>
        </w:rPr>
        <w:t>při předání bude proveden test funkcionalit služeb v rámci sítě dle následující tabulky; nesplnění akceptačního testu je důvodem nepřevzetí dodávky.</w:t>
      </w:r>
    </w:p>
    <w:p w14:paraId="27E24B9B" w14:textId="11D8C05E" w:rsidR="00121DE3" w:rsidRDefault="00121DE3" w:rsidP="00121DE3">
      <w:pPr>
        <w:rPr>
          <w:rFonts w:ascii="Arial Narrow" w:hAnsi="Arial Narrow"/>
          <w:sz w:val="24"/>
          <w:szCs w:val="24"/>
        </w:rPr>
      </w:pPr>
    </w:p>
    <w:p w14:paraId="59AB06F6" w14:textId="77777777" w:rsidR="008912D0" w:rsidRPr="000A7E72" w:rsidRDefault="008912D0" w:rsidP="00121DE3">
      <w:pPr>
        <w:rPr>
          <w:rFonts w:ascii="Arial Narrow" w:hAnsi="Arial Narrow"/>
          <w:sz w:val="24"/>
          <w:szCs w:val="24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940"/>
      </w:tblGrid>
      <w:tr w:rsidR="002E0FED" w:rsidRPr="008912D0" w14:paraId="0E01CFCD" w14:textId="77777777" w:rsidTr="002E0FED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FC2D" w14:textId="77777777" w:rsidR="002E0FED" w:rsidRPr="008912D0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cs-CZ"/>
              </w:rPr>
              <w:t>Funkce (EN)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4D8D" w14:textId="77777777" w:rsidR="002E0FED" w:rsidRPr="008912D0" w:rsidRDefault="002E0FED" w:rsidP="002E0FED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cs-CZ"/>
              </w:rPr>
              <w:t>Funkce (CZ)</w:t>
            </w:r>
          </w:p>
        </w:tc>
      </w:tr>
      <w:tr w:rsidR="002E0FED" w:rsidRPr="008912D0" w14:paraId="4FCBDDD9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A13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Basic call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A5B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Základní volání</w:t>
            </w:r>
          </w:p>
        </w:tc>
      </w:tr>
      <w:tr w:rsidR="002E0FED" w:rsidRPr="008912D0" w14:paraId="7CB1E340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10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Callback on busy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92FE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Zpětné volání při obsazeno</w:t>
            </w:r>
          </w:p>
        </w:tc>
      </w:tr>
      <w:tr w:rsidR="002E0FED" w:rsidRPr="008912D0" w14:paraId="76350A69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B4E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Override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8F51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Vynucené napojení do hovoru</w:t>
            </w:r>
          </w:p>
        </w:tc>
      </w:tr>
      <w:tr w:rsidR="002E0FED" w:rsidRPr="008912D0" w14:paraId="380343A4" w14:textId="77777777" w:rsidTr="002E0FED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653D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Calling Line Identification Presentation (CLIP)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C22F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Zobrazení identifikace volající linky</w:t>
            </w:r>
          </w:p>
        </w:tc>
      </w:tr>
      <w:tr w:rsidR="002E0FED" w:rsidRPr="008912D0" w14:paraId="12C0DC71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B7C0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Connected Line ID Presentation (COLP)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466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Zobrazení identifikace volané linky</w:t>
            </w:r>
          </w:p>
        </w:tc>
      </w:tr>
      <w:tr w:rsidR="002E0FED" w:rsidRPr="008912D0" w14:paraId="1C19F396" w14:textId="77777777" w:rsidTr="002E0FED">
        <w:trPr>
          <w:gridBefore w:val="1"/>
          <w:wBefore w:w="3940" w:type="dxa"/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74C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Druhé volání</w:t>
            </w:r>
          </w:p>
        </w:tc>
      </w:tr>
      <w:tr w:rsidR="002E0FED" w:rsidRPr="008912D0" w14:paraId="79E86A15" w14:textId="77777777" w:rsidTr="002E0FED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851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Calling Line Identification Presentation (CLIP)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3F6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Zobrazení identifikace volající linky</w:t>
            </w:r>
          </w:p>
        </w:tc>
      </w:tr>
      <w:tr w:rsidR="002E0FED" w:rsidRPr="008912D0" w14:paraId="6A1D6F5A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A00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Calling Line Identification Restriction (CLIR)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59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Zamezení zobrazení identifikace volající linky</w:t>
            </w:r>
          </w:p>
        </w:tc>
      </w:tr>
      <w:tr w:rsidR="002E0FED" w:rsidRPr="008912D0" w14:paraId="7FC56A4B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BF91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Connected Line ID Presentation (COLP)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D86C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Zobrazení identifikace volané linky</w:t>
            </w:r>
          </w:p>
        </w:tc>
      </w:tr>
      <w:tr w:rsidR="002E0FED" w:rsidRPr="008912D0" w14:paraId="7DEF1B11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AEE3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Connected Line ID Restriction (COLR)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D2E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Zamezení zobrazení identifikace volané linky</w:t>
            </w:r>
          </w:p>
        </w:tc>
      </w:tr>
      <w:tr w:rsidR="002E0FED" w:rsidRPr="008912D0" w14:paraId="367B72C1" w14:textId="77777777" w:rsidTr="002E0FED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67D1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Calling / Connected Name Identification Presentation (CNIP)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48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Přenos a zobrazení jména volajícího</w:t>
            </w:r>
          </w:p>
        </w:tc>
      </w:tr>
      <w:tr w:rsidR="002E0FED" w:rsidRPr="008912D0" w14:paraId="730003A4" w14:textId="77777777" w:rsidTr="002E0FED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80C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Calling / Connected Name Identification Restriction (CNIR)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75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Zamezení přenosu a zobrazení jména volajícího</w:t>
            </w:r>
          </w:p>
        </w:tc>
      </w:tr>
      <w:tr w:rsidR="002E0FED" w:rsidRPr="008912D0" w14:paraId="1411C3CB" w14:textId="77777777" w:rsidTr="002E0FED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A143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Calling / Connected Name Identification Presentation (CNIP)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CC1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Přenos a zobrazení jména volajícího</w:t>
            </w:r>
          </w:p>
        </w:tc>
      </w:tr>
      <w:tr w:rsidR="002E0FED" w:rsidRPr="008912D0" w14:paraId="3351BF0B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07C2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Do Not Disturb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C1E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Nerušit</w:t>
            </w:r>
          </w:p>
        </w:tc>
      </w:tr>
      <w:tr w:rsidR="002E0FED" w:rsidRPr="008912D0" w14:paraId="4198EBE2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E22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 forwarding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E9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Přesměrování volání</w:t>
            </w:r>
          </w:p>
        </w:tc>
      </w:tr>
      <w:tr w:rsidR="002E0FED" w:rsidRPr="008912D0" w14:paraId="66B0C2F6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07F5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 Forwarding on Busy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717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Přesměrování volání při obsazeno</w:t>
            </w:r>
          </w:p>
        </w:tc>
      </w:tr>
      <w:tr w:rsidR="002E0FED" w:rsidRPr="008912D0" w14:paraId="3B79E8D5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4DC1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Call Forwarding on RNA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BEA7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Přesměrování volání při neodpovídá</w:t>
            </w:r>
          </w:p>
        </w:tc>
      </w:tr>
      <w:tr w:rsidR="002E0FED" w:rsidRPr="008912D0" w14:paraId="3708026D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6E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Message Waiting Indication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558D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Informace o čekajícím volání</w:t>
            </w:r>
          </w:p>
        </w:tc>
      </w:tr>
      <w:tr w:rsidR="002E0FED" w:rsidRPr="008912D0" w14:paraId="47116FBB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E145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Transfer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D7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Přepojení hovoru</w:t>
            </w:r>
          </w:p>
        </w:tc>
      </w:tr>
      <w:tr w:rsidR="002E0FED" w:rsidRPr="008912D0" w14:paraId="2C34D4E5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4B1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Conferencing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3FEB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Konference</w:t>
            </w:r>
          </w:p>
        </w:tc>
      </w:tr>
      <w:tr w:rsidR="002E0FED" w:rsidRPr="008912D0" w14:paraId="5A775F4C" w14:textId="77777777" w:rsidTr="002E0FED">
        <w:trPr>
          <w:gridBefore w:val="1"/>
          <w:wBefore w:w="3940" w:type="dxa"/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A58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Trasování hovoru</w:t>
            </w:r>
          </w:p>
        </w:tc>
      </w:tr>
      <w:tr w:rsidR="002E0FED" w:rsidRPr="008912D0" w14:paraId="0F5D31DB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715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 xml:space="preserve">Hold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8F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Přidržení volání</w:t>
            </w:r>
          </w:p>
        </w:tc>
      </w:tr>
      <w:tr w:rsidR="002E0FED" w:rsidRPr="008912D0" w14:paraId="5BDB8F49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574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lastRenderedPageBreak/>
              <w:t xml:space="preserve">Toggle/Connect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BE4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Přepínání mezi hovory</w:t>
            </w:r>
          </w:p>
        </w:tc>
      </w:tr>
      <w:tr w:rsidR="002E0FED" w:rsidRPr="008912D0" w14:paraId="2230CECA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BF9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SPE - Signaling and Payload Encryption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AE0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Šifrování hovoru a signalizace</w:t>
            </w:r>
          </w:p>
        </w:tc>
      </w:tr>
      <w:tr w:rsidR="002E0FED" w:rsidRPr="008912D0" w14:paraId="1F0BC9EF" w14:textId="77777777" w:rsidTr="002E0F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5F0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Network Call Pickup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7C2" w14:textId="77777777" w:rsidR="002E0FED" w:rsidRPr="008912D0" w:rsidRDefault="002E0FED" w:rsidP="002E0FED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</w:pPr>
            <w:r w:rsidRPr="008912D0">
              <w:rPr>
                <w:rFonts w:ascii="Arial Narrow" w:hAnsi="Arial Narrow" w:cs="Calibri"/>
                <w:color w:val="000000"/>
                <w:sz w:val="22"/>
                <w:szCs w:val="22"/>
                <w:lang w:eastAsia="cs-CZ"/>
              </w:rPr>
              <w:t>Převzetí volání mezi pobočkami v síti</w:t>
            </w:r>
          </w:p>
        </w:tc>
      </w:tr>
    </w:tbl>
    <w:p w14:paraId="43589816" w14:textId="77777777" w:rsidR="002E0FED" w:rsidRPr="000A7E72" w:rsidRDefault="002E0FED" w:rsidP="00121DE3">
      <w:pPr>
        <w:rPr>
          <w:rFonts w:ascii="Arial Narrow" w:hAnsi="Arial Narrow"/>
          <w:sz w:val="24"/>
          <w:szCs w:val="24"/>
        </w:rPr>
      </w:pPr>
    </w:p>
    <w:p w14:paraId="2F7B3DDF" w14:textId="77777777" w:rsidR="00121DE3" w:rsidRPr="000A7E72" w:rsidRDefault="00121DE3" w:rsidP="00121DE3">
      <w:pPr>
        <w:rPr>
          <w:rFonts w:ascii="Arial Narrow" w:hAnsi="Arial Narrow"/>
          <w:sz w:val="24"/>
          <w:szCs w:val="24"/>
        </w:rPr>
      </w:pPr>
    </w:p>
    <w:p w14:paraId="443491C2" w14:textId="77777777" w:rsidR="00121DE3" w:rsidRPr="000A7E72" w:rsidRDefault="00121DE3" w:rsidP="00121DE3">
      <w:pPr>
        <w:rPr>
          <w:rFonts w:ascii="Arial Narrow" w:hAnsi="Arial Narrow"/>
          <w:sz w:val="24"/>
          <w:szCs w:val="24"/>
        </w:rPr>
      </w:pPr>
    </w:p>
    <w:sectPr w:rsidR="00121DE3" w:rsidRPr="000A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18F682"/>
    <w:lvl w:ilvl="0">
      <w:start w:val="1"/>
      <w:numFmt w:val="decimal"/>
      <w:pStyle w:val="Nadpis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1" w15:restartNumberingAfterBreak="0">
    <w:nsid w:val="0D7E5BAD"/>
    <w:multiLevelType w:val="multilevel"/>
    <w:tmpl w:val="02AC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 Narrow" w:hAnsi="Arial Narrow" w:cs="Arial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" w15:restartNumberingAfterBreak="0">
    <w:nsid w:val="1D1A1627"/>
    <w:multiLevelType w:val="multilevel"/>
    <w:tmpl w:val="81C27B6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4A119A"/>
    <w:multiLevelType w:val="hybridMultilevel"/>
    <w:tmpl w:val="65FCDE82"/>
    <w:lvl w:ilvl="0" w:tplc="9300F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C2427"/>
    <w:multiLevelType w:val="hybridMultilevel"/>
    <w:tmpl w:val="385A5182"/>
    <w:lvl w:ilvl="0" w:tplc="9DF0A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E45A5"/>
    <w:multiLevelType w:val="hybridMultilevel"/>
    <w:tmpl w:val="0A14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13B51"/>
    <w:multiLevelType w:val="multilevel"/>
    <w:tmpl w:val="02AC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 Narrow" w:hAnsi="Arial Narrow" w:cs="Arial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num w:numId="1" w16cid:durableId="458303086">
    <w:abstractNumId w:val="0"/>
  </w:num>
  <w:num w:numId="2" w16cid:durableId="1649479704">
    <w:abstractNumId w:val="5"/>
  </w:num>
  <w:num w:numId="3" w16cid:durableId="308706924">
    <w:abstractNumId w:val="2"/>
  </w:num>
  <w:num w:numId="4" w16cid:durableId="1603567371">
    <w:abstractNumId w:val="4"/>
  </w:num>
  <w:num w:numId="5" w16cid:durableId="1225482643">
    <w:abstractNumId w:val="3"/>
  </w:num>
  <w:num w:numId="6" w16cid:durableId="452477040">
    <w:abstractNumId w:val="6"/>
  </w:num>
  <w:num w:numId="7" w16cid:durableId="118937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3"/>
    <w:rsid w:val="0004751F"/>
    <w:rsid w:val="000A7D94"/>
    <w:rsid w:val="000A7E72"/>
    <w:rsid w:val="000D3EED"/>
    <w:rsid w:val="000D4F4B"/>
    <w:rsid w:val="000F6121"/>
    <w:rsid w:val="00121DE3"/>
    <w:rsid w:val="00127027"/>
    <w:rsid w:val="00151233"/>
    <w:rsid w:val="0016080B"/>
    <w:rsid w:val="0017363A"/>
    <w:rsid w:val="001D4F39"/>
    <w:rsid w:val="001F61F2"/>
    <w:rsid w:val="0021588C"/>
    <w:rsid w:val="00223417"/>
    <w:rsid w:val="0023017C"/>
    <w:rsid w:val="00246C3B"/>
    <w:rsid w:val="002877FC"/>
    <w:rsid w:val="002E0FED"/>
    <w:rsid w:val="002F315D"/>
    <w:rsid w:val="003B2642"/>
    <w:rsid w:val="003B512E"/>
    <w:rsid w:val="003B6B61"/>
    <w:rsid w:val="00426E8C"/>
    <w:rsid w:val="00447727"/>
    <w:rsid w:val="004A26F5"/>
    <w:rsid w:val="004A6878"/>
    <w:rsid w:val="004B708E"/>
    <w:rsid w:val="004D2107"/>
    <w:rsid w:val="004D7C41"/>
    <w:rsid w:val="004F65CC"/>
    <w:rsid w:val="005232C7"/>
    <w:rsid w:val="0056176F"/>
    <w:rsid w:val="005729DE"/>
    <w:rsid w:val="005C2BB6"/>
    <w:rsid w:val="00616EA6"/>
    <w:rsid w:val="00624749"/>
    <w:rsid w:val="00656CE3"/>
    <w:rsid w:val="00672A73"/>
    <w:rsid w:val="00682641"/>
    <w:rsid w:val="006A167F"/>
    <w:rsid w:val="006C2DA2"/>
    <w:rsid w:val="006F4F38"/>
    <w:rsid w:val="00703820"/>
    <w:rsid w:val="00706B87"/>
    <w:rsid w:val="00740964"/>
    <w:rsid w:val="007574B4"/>
    <w:rsid w:val="00784A79"/>
    <w:rsid w:val="007B1C1A"/>
    <w:rsid w:val="007B3290"/>
    <w:rsid w:val="007B488E"/>
    <w:rsid w:val="007F44F6"/>
    <w:rsid w:val="008042DF"/>
    <w:rsid w:val="00831E7A"/>
    <w:rsid w:val="00850E55"/>
    <w:rsid w:val="008912D0"/>
    <w:rsid w:val="00894882"/>
    <w:rsid w:val="008B423B"/>
    <w:rsid w:val="008D251E"/>
    <w:rsid w:val="008F5CD4"/>
    <w:rsid w:val="00921FEE"/>
    <w:rsid w:val="00935563"/>
    <w:rsid w:val="009E0867"/>
    <w:rsid w:val="00A16C55"/>
    <w:rsid w:val="00A317DC"/>
    <w:rsid w:val="00A450A6"/>
    <w:rsid w:val="00A81EA0"/>
    <w:rsid w:val="00AD064C"/>
    <w:rsid w:val="00B36FBA"/>
    <w:rsid w:val="00B37B85"/>
    <w:rsid w:val="00BB6AAC"/>
    <w:rsid w:val="00BC1973"/>
    <w:rsid w:val="00BC3764"/>
    <w:rsid w:val="00C07899"/>
    <w:rsid w:val="00C07AC7"/>
    <w:rsid w:val="00C26C07"/>
    <w:rsid w:val="00C47F23"/>
    <w:rsid w:val="00C56E6A"/>
    <w:rsid w:val="00C90382"/>
    <w:rsid w:val="00CB61E5"/>
    <w:rsid w:val="00CD680D"/>
    <w:rsid w:val="00D1744C"/>
    <w:rsid w:val="00D67384"/>
    <w:rsid w:val="00D67B3C"/>
    <w:rsid w:val="00D87295"/>
    <w:rsid w:val="00D91F64"/>
    <w:rsid w:val="00D93EA6"/>
    <w:rsid w:val="00DD24AF"/>
    <w:rsid w:val="00DE34D5"/>
    <w:rsid w:val="00E5569B"/>
    <w:rsid w:val="00E65F89"/>
    <w:rsid w:val="00E80273"/>
    <w:rsid w:val="00EA6015"/>
    <w:rsid w:val="00EC057A"/>
    <w:rsid w:val="00ED2625"/>
    <w:rsid w:val="00F02742"/>
    <w:rsid w:val="00F03A06"/>
    <w:rsid w:val="00F06958"/>
    <w:rsid w:val="00F10D39"/>
    <w:rsid w:val="00F2201E"/>
    <w:rsid w:val="00F84033"/>
    <w:rsid w:val="00F87A20"/>
    <w:rsid w:val="00FC500E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E9F0"/>
  <w15:chartTrackingRefBased/>
  <w15:docId w15:val="{88D4F667-7FAF-40B8-AF75-820A254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D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21DE3"/>
    <w:pPr>
      <w:keepNext/>
      <w:numPr>
        <w:numId w:val="1"/>
      </w:numPr>
      <w:spacing w:before="120"/>
      <w:outlineLvl w:val="0"/>
    </w:pPr>
    <w:rPr>
      <w:rFonts w:ascii="Arial" w:hAnsi="Arial" w:cs="Arial"/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1DE3"/>
    <w:rPr>
      <w:rFonts w:ascii="Arial" w:eastAsia="Times New Roman" w:hAnsi="Arial" w:cs="Arial"/>
      <w:b/>
      <w:caps/>
      <w:sz w:val="32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121DE3"/>
    <w:pPr>
      <w:jc w:val="center"/>
    </w:pPr>
    <w:rPr>
      <w:b/>
      <w:emboss/>
      <w:color w:val="FF0000"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121DE3"/>
    <w:rPr>
      <w:rFonts w:ascii="Times New Roman" w:eastAsia="Times New Roman" w:hAnsi="Times New Roman" w:cs="Times New Roman"/>
      <w:b/>
      <w:emboss/>
      <w:color w:val="FF0000"/>
      <w:sz w:val="40"/>
      <w:szCs w:val="20"/>
      <w:u w:val="single"/>
      <w:lang w:eastAsia="ar-SA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121DE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121DE3"/>
    <w:rPr>
      <w:rFonts w:ascii="Calibri" w:eastAsia="Calibri" w:hAnsi="Calibri" w:cs="Times New Roman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D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21DE3"/>
    <w:rPr>
      <w:rFonts w:eastAsiaTheme="minorEastAsia"/>
      <w:color w:val="5A5A5A" w:themeColor="text1" w:themeTint="A5"/>
      <w:spacing w:val="15"/>
      <w:lang w:eastAsia="ar-SA"/>
    </w:rPr>
  </w:style>
  <w:style w:type="paragraph" w:styleId="Revize">
    <w:name w:val="Revision"/>
    <w:hidden/>
    <w:uiPriority w:val="99"/>
    <w:semiHidden/>
    <w:rsid w:val="004A6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nhideWhenUsed/>
    <w:rsid w:val="004A687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A6878"/>
  </w:style>
  <w:style w:type="character" w:customStyle="1" w:styleId="TextkomenteChar">
    <w:name w:val="Text komentáře Char"/>
    <w:basedOn w:val="Standardnpsmoodstavce"/>
    <w:link w:val="Textkomente"/>
    <w:rsid w:val="004A68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8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87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4A6878"/>
    <w:pPr>
      <w:suppressAutoHyphens/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</dc:creator>
  <cp:keywords/>
  <dc:description/>
  <cp:lastModifiedBy>Lokajová Barbora</cp:lastModifiedBy>
  <cp:revision>6</cp:revision>
  <cp:lastPrinted>2025-04-23T12:57:00Z</cp:lastPrinted>
  <dcterms:created xsi:type="dcterms:W3CDTF">2025-06-10T09:05:00Z</dcterms:created>
  <dcterms:modified xsi:type="dcterms:W3CDTF">2025-06-10T09:10:00Z</dcterms:modified>
</cp:coreProperties>
</file>