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E91F" w14:textId="6A41223C" w:rsidR="007F69F3" w:rsidRDefault="000D62A1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Technická specifikace – povýšení softwarových licencí bezpečnostního monitoringu sítě </w:t>
      </w:r>
      <w:r w:rsidR="001B79CE">
        <w:rPr>
          <w:b/>
          <w:bCs/>
        </w:rPr>
        <w:t xml:space="preserve">se servisní </w:t>
      </w:r>
      <w:r>
        <w:rPr>
          <w:b/>
          <w:bCs/>
        </w:rPr>
        <w:t>podporou na 3 roky</w:t>
      </w:r>
    </w:p>
    <w:p w14:paraId="0632205C" w14:textId="77777777" w:rsidR="007F69F3" w:rsidRDefault="000D62A1">
      <w:pPr>
        <w:pStyle w:val="Standard"/>
      </w:pPr>
      <w:r>
        <w:rPr>
          <w:noProof/>
        </w:rPr>
        <mc:AlternateContent>
          <mc:Choice Requires="wps">
            <w:drawing>
              <wp:inline distT="0" distB="0" distL="0" distR="0" wp14:anchorId="7FBE93A3" wp14:editId="4D32C774">
                <wp:extent cx="5761080" cy="19440"/>
                <wp:effectExtent l="0" t="0" r="0" b="0"/>
                <wp:docPr id="1417361067" name="Tvar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080" cy="19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580EF2BD" w14:textId="77777777" w:rsidR="007F69F3" w:rsidRDefault="007F69F3"/>
                        </w:txbxContent>
                      </wps:txbx>
                      <wps:bodyPr wrap="none" lIns="0" tIns="0" rIns="0" bIns="0" anchor="t" anchorCtr="1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BE93A3" id="Tvar1" o:spid="_x0000_s1026" style="width:453.65pt;height:1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" fillcolor="#a0a0a0" stroked="f">
                <v:textbox inset="0,0,0,0">
                  <w:txbxContent>
                    <w:p w14:paraId="580EF2BD" w14:textId="77777777" w:rsidR="007F69F3" w:rsidRDefault="007F69F3"/>
                  </w:txbxContent>
                </v:textbox>
                <w10:anchorlock/>
              </v:rect>
            </w:pict>
          </mc:Fallback>
        </mc:AlternateContent>
      </w:r>
    </w:p>
    <w:p w14:paraId="4C101195" w14:textId="77777777" w:rsidR="007F69F3" w:rsidRDefault="000D62A1">
      <w:pPr>
        <w:pStyle w:val="Standard"/>
        <w:rPr>
          <w:b/>
          <w:bCs/>
        </w:rPr>
      </w:pPr>
      <w:r>
        <w:rPr>
          <w:b/>
          <w:bCs/>
        </w:rPr>
        <w:t>1. Předmět plnění</w:t>
      </w:r>
    </w:p>
    <w:p w14:paraId="1F7F68C2" w14:textId="5AC873EC" w:rsidR="007F69F3" w:rsidRDefault="000D62A1" w:rsidP="007C605E">
      <w:pPr>
        <w:pStyle w:val="Standard"/>
        <w:jc w:val="both"/>
      </w:pPr>
      <w:r>
        <w:t xml:space="preserve">Předmětem plnění je povýšení softwarových licencí bezpečnostního nástroje </w:t>
      </w:r>
      <w:proofErr w:type="spellStart"/>
      <w:r>
        <w:t>GreyCortex</w:t>
      </w:r>
      <w:proofErr w:type="spellEnd"/>
      <w:r>
        <w:t xml:space="preserve"> Mendel MA-SC-</w:t>
      </w:r>
      <w:proofErr w:type="gramStart"/>
      <w:r>
        <w:t>2K</w:t>
      </w:r>
      <w:proofErr w:type="gramEnd"/>
      <w:r>
        <w:t>-SW a MA-S-100-SW v požadovaném rozsahu, včetně zajištění technické podpory a</w:t>
      </w:r>
      <w:r w:rsidR="007C605E">
        <w:t> </w:t>
      </w:r>
      <w:r>
        <w:t>nároku na aktualizace (</w:t>
      </w:r>
      <w:proofErr w:type="spellStart"/>
      <w:r>
        <w:t>maintenance</w:t>
      </w:r>
      <w:proofErr w:type="spellEnd"/>
      <w:r>
        <w:t>) po dobu 36 měsíců od data aktivace licence.</w:t>
      </w:r>
    </w:p>
    <w:p w14:paraId="75E295F7" w14:textId="77777777" w:rsidR="007F69F3" w:rsidRDefault="000D62A1" w:rsidP="007C605E">
      <w:pPr>
        <w:pStyle w:val="Standard"/>
        <w:jc w:val="both"/>
      </w:pPr>
      <w:r>
        <w:t>Dodávka bude realizována prostřednictvím autorizovaného partnera výrobce splňujícího podmínky partnerského programu výrobce.</w:t>
      </w:r>
    </w:p>
    <w:p w14:paraId="10A02D7A" w14:textId="77777777" w:rsidR="007F69F3" w:rsidRDefault="007F69F3">
      <w:pPr>
        <w:pStyle w:val="Standard"/>
        <w:rPr>
          <w:b/>
          <w:bCs/>
        </w:rPr>
      </w:pPr>
    </w:p>
    <w:p w14:paraId="6BFD67D3" w14:textId="77777777" w:rsidR="007F69F3" w:rsidRDefault="000D62A1">
      <w:pPr>
        <w:pStyle w:val="Standard"/>
        <w:rPr>
          <w:b/>
          <w:bCs/>
        </w:rPr>
      </w:pPr>
      <w:r>
        <w:rPr>
          <w:b/>
          <w:bCs/>
        </w:rPr>
        <w:t>2. Specifikace licencí kolektoru</w:t>
      </w:r>
    </w:p>
    <w:p w14:paraId="738506EE" w14:textId="77777777" w:rsidR="007F69F3" w:rsidRDefault="000D62A1">
      <w:pPr>
        <w:pStyle w:val="Standard"/>
        <w:numPr>
          <w:ilvl w:val="0"/>
          <w:numId w:val="5"/>
        </w:numPr>
      </w:pPr>
      <w:r>
        <w:t xml:space="preserve">Název produktu: </w:t>
      </w:r>
      <w:proofErr w:type="spellStart"/>
      <w:r>
        <w:t>GreyCortex</w:t>
      </w:r>
      <w:proofErr w:type="spellEnd"/>
      <w:r>
        <w:t xml:space="preserve"> Mendel </w:t>
      </w:r>
      <w:proofErr w:type="spellStart"/>
      <w:r>
        <w:t>AiO</w:t>
      </w:r>
      <w:proofErr w:type="spellEnd"/>
    </w:p>
    <w:p w14:paraId="5167CD46" w14:textId="77777777" w:rsidR="007F69F3" w:rsidRDefault="000D62A1">
      <w:pPr>
        <w:pStyle w:val="Standard"/>
        <w:numPr>
          <w:ilvl w:val="0"/>
          <w:numId w:val="1"/>
        </w:numPr>
      </w:pPr>
      <w:r>
        <w:t>Typ současné licence: MA-SC-</w:t>
      </w:r>
      <w:proofErr w:type="gramStart"/>
      <w:r>
        <w:t>2K</w:t>
      </w:r>
      <w:proofErr w:type="gramEnd"/>
      <w:r>
        <w:t>-SW</w:t>
      </w:r>
    </w:p>
    <w:p w14:paraId="163AD72A" w14:textId="77777777" w:rsidR="007F69F3" w:rsidRDefault="000D62A1">
      <w:pPr>
        <w:pStyle w:val="Standard"/>
        <w:numPr>
          <w:ilvl w:val="0"/>
          <w:numId w:val="1"/>
        </w:numPr>
      </w:pPr>
      <w:r>
        <w:t>Typ požadované licence: MA-SC-</w:t>
      </w:r>
      <w:proofErr w:type="gramStart"/>
      <w:r>
        <w:t>4K</w:t>
      </w:r>
      <w:proofErr w:type="gramEnd"/>
      <w:r>
        <w:t>-SW</w:t>
      </w:r>
    </w:p>
    <w:p w14:paraId="6A5D2CD7" w14:textId="77777777" w:rsidR="007F69F3" w:rsidRDefault="000D62A1">
      <w:pPr>
        <w:pStyle w:val="Standard"/>
        <w:numPr>
          <w:ilvl w:val="0"/>
          <w:numId w:val="1"/>
        </w:numPr>
      </w:pPr>
      <w:r>
        <w:t>Počet licencí: 1</w:t>
      </w:r>
    </w:p>
    <w:p w14:paraId="138E11FE" w14:textId="389B0DBA" w:rsidR="007F69F3" w:rsidRDefault="000D62A1" w:rsidP="007C605E">
      <w:pPr>
        <w:pStyle w:val="Standard"/>
        <w:jc w:val="both"/>
      </w:pPr>
      <w:r>
        <w:t>Licence musí být nové, nepoužité, určené pro legální distribuci v rámci EU a registrované na</w:t>
      </w:r>
      <w:r w:rsidR="007C605E">
        <w:t> </w:t>
      </w:r>
      <w:r>
        <w:t>objednatele.</w:t>
      </w:r>
    </w:p>
    <w:p w14:paraId="4C55079A" w14:textId="77777777" w:rsidR="007F69F3" w:rsidRDefault="007F69F3">
      <w:pPr>
        <w:pStyle w:val="Standard"/>
      </w:pPr>
    </w:p>
    <w:p w14:paraId="75117FF9" w14:textId="77777777" w:rsidR="007F69F3" w:rsidRDefault="000D62A1">
      <w:pPr>
        <w:pStyle w:val="Standard"/>
        <w:rPr>
          <w:b/>
          <w:bCs/>
        </w:rPr>
      </w:pPr>
      <w:r>
        <w:rPr>
          <w:b/>
          <w:bCs/>
        </w:rPr>
        <w:t>3. Specifikace licencí sensoru</w:t>
      </w:r>
    </w:p>
    <w:p w14:paraId="3B677C47" w14:textId="77777777" w:rsidR="007F69F3" w:rsidRDefault="000D62A1">
      <w:pPr>
        <w:pStyle w:val="Standard"/>
        <w:numPr>
          <w:ilvl w:val="0"/>
          <w:numId w:val="1"/>
        </w:numPr>
      </w:pPr>
      <w:r>
        <w:t xml:space="preserve">Název produktu: </w:t>
      </w:r>
      <w:proofErr w:type="spellStart"/>
      <w:r>
        <w:t>GreyCortex</w:t>
      </w:r>
      <w:proofErr w:type="spellEnd"/>
      <w:r>
        <w:t xml:space="preserve"> Mendel Sensor</w:t>
      </w:r>
    </w:p>
    <w:p w14:paraId="0C177D59" w14:textId="77777777" w:rsidR="007F69F3" w:rsidRDefault="000D62A1">
      <w:pPr>
        <w:pStyle w:val="Standard"/>
        <w:numPr>
          <w:ilvl w:val="0"/>
          <w:numId w:val="1"/>
        </w:numPr>
      </w:pPr>
      <w:r>
        <w:t>Typ současné licence: MA-S-100-SW</w:t>
      </w:r>
    </w:p>
    <w:p w14:paraId="7C3072BB" w14:textId="77777777" w:rsidR="007F69F3" w:rsidRDefault="000D62A1">
      <w:pPr>
        <w:pStyle w:val="Standard"/>
        <w:numPr>
          <w:ilvl w:val="0"/>
          <w:numId w:val="1"/>
        </w:numPr>
      </w:pPr>
      <w:r>
        <w:t>Typ požadované licence: MA-S-200-SW</w:t>
      </w:r>
    </w:p>
    <w:p w14:paraId="69AE6100" w14:textId="77777777" w:rsidR="007F69F3" w:rsidRDefault="000D62A1">
      <w:pPr>
        <w:pStyle w:val="Standard"/>
        <w:numPr>
          <w:ilvl w:val="0"/>
          <w:numId w:val="1"/>
        </w:numPr>
      </w:pPr>
      <w:r>
        <w:t>Počet licencí: 11</w:t>
      </w:r>
    </w:p>
    <w:p w14:paraId="61CC1A95" w14:textId="72B18A2B" w:rsidR="007F69F3" w:rsidRDefault="000D62A1" w:rsidP="00EA3DD8">
      <w:pPr>
        <w:pStyle w:val="Standard"/>
        <w:jc w:val="both"/>
      </w:pPr>
      <w:r>
        <w:t>Licence musí být nové, nepoužité, určené pro legální distribuci v rámci EU a registrované na</w:t>
      </w:r>
      <w:r w:rsidR="00EA3DD8">
        <w:t> </w:t>
      </w:r>
      <w:r>
        <w:t>objednatele.</w:t>
      </w:r>
    </w:p>
    <w:p w14:paraId="6E24C14F" w14:textId="77777777" w:rsidR="007F69F3" w:rsidRDefault="007F69F3">
      <w:pPr>
        <w:pStyle w:val="Standard"/>
      </w:pPr>
    </w:p>
    <w:p w14:paraId="1318E538" w14:textId="0BBE5FFC" w:rsidR="007F69F3" w:rsidRDefault="000D62A1">
      <w:pPr>
        <w:pStyle w:val="Standard"/>
        <w:rPr>
          <w:b/>
          <w:bCs/>
        </w:rPr>
      </w:pPr>
      <w:r>
        <w:rPr>
          <w:b/>
          <w:bCs/>
        </w:rPr>
        <w:t xml:space="preserve">4. </w:t>
      </w:r>
      <w:r w:rsidR="001B79CE">
        <w:rPr>
          <w:b/>
          <w:bCs/>
        </w:rPr>
        <w:t>Servisní podpora</w:t>
      </w:r>
    </w:p>
    <w:p w14:paraId="3D1E5003" w14:textId="77777777" w:rsidR="007F69F3" w:rsidRDefault="000D62A1">
      <w:pPr>
        <w:pStyle w:val="Standard"/>
      </w:pPr>
      <w:r>
        <w:t>Součástí plnění musí být:</w:t>
      </w:r>
    </w:p>
    <w:p w14:paraId="4EF0658C" w14:textId="77777777" w:rsidR="007F69F3" w:rsidRDefault="000D62A1">
      <w:pPr>
        <w:pStyle w:val="Standard"/>
        <w:numPr>
          <w:ilvl w:val="0"/>
          <w:numId w:val="6"/>
        </w:numPr>
      </w:pPr>
      <w:r>
        <w:t>Technická podpora výrobce nebo autorizovaného partnera po dobu 36 měsíců.</w:t>
      </w:r>
    </w:p>
    <w:p w14:paraId="77747942" w14:textId="77777777" w:rsidR="007F69F3" w:rsidRDefault="000D62A1">
      <w:pPr>
        <w:pStyle w:val="Standard"/>
        <w:numPr>
          <w:ilvl w:val="0"/>
          <w:numId w:val="2"/>
        </w:numPr>
      </w:pPr>
      <w:r>
        <w:t>Nárok na nové verze softwaru, aktualizace a bezpečnostní záplaty po dobu 36 měsíců.</w:t>
      </w:r>
    </w:p>
    <w:p w14:paraId="4A5CCB2B" w14:textId="77777777" w:rsidR="007F69F3" w:rsidRDefault="000D62A1">
      <w:pPr>
        <w:pStyle w:val="Standard"/>
        <w:numPr>
          <w:ilvl w:val="0"/>
          <w:numId w:val="2"/>
        </w:numPr>
      </w:pPr>
      <w:r>
        <w:t>Možnost otevírání servisních požadavků (incidentů).</w:t>
      </w:r>
    </w:p>
    <w:p w14:paraId="64EB0391" w14:textId="77777777" w:rsidR="007F69F3" w:rsidRDefault="000D62A1">
      <w:pPr>
        <w:pStyle w:val="Standard"/>
        <w:numPr>
          <w:ilvl w:val="0"/>
          <w:numId w:val="2"/>
        </w:numPr>
      </w:pPr>
      <w:r>
        <w:t>Reakční doba podpory dle úrovně SLA výrobce (minimálně standard business support 8x5).</w:t>
      </w:r>
    </w:p>
    <w:p w14:paraId="26F4AE70" w14:textId="77777777" w:rsidR="007F69F3" w:rsidRDefault="000D62A1">
      <w:pPr>
        <w:pStyle w:val="Standard"/>
        <w:numPr>
          <w:ilvl w:val="0"/>
          <w:numId w:val="2"/>
        </w:numPr>
      </w:pPr>
      <w:r>
        <w:t>Možnost eskalace incidentů na výrobce.</w:t>
      </w:r>
    </w:p>
    <w:p w14:paraId="13D4D396" w14:textId="77777777" w:rsidR="007F69F3" w:rsidRDefault="000D62A1">
      <w:pPr>
        <w:pStyle w:val="Standard"/>
      </w:pPr>
      <w:r>
        <w:t>Podpora musí být poskytována minimálně v pracovních dnech, v českém nebo anglickém jazyce.</w:t>
      </w:r>
    </w:p>
    <w:p w14:paraId="66C5CD40" w14:textId="77777777" w:rsidR="007F69F3" w:rsidRDefault="007F69F3">
      <w:pPr>
        <w:pStyle w:val="Standard"/>
        <w:rPr>
          <w:b/>
          <w:bCs/>
        </w:rPr>
      </w:pPr>
    </w:p>
    <w:p w14:paraId="4D5FED16" w14:textId="77777777" w:rsidR="007F69F3" w:rsidRDefault="000D62A1">
      <w:pPr>
        <w:pStyle w:val="Standard"/>
        <w:rPr>
          <w:b/>
          <w:bCs/>
        </w:rPr>
      </w:pPr>
      <w:r>
        <w:rPr>
          <w:b/>
          <w:bCs/>
        </w:rPr>
        <w:t>5. Požadavky na dodavatele</w:t>
      </w:r>
    </w:p>
    <w:p w14:paraId="741740DA" w14:textId="77777777" w:rsidR="007F69F3" w:rsidRDefault="000D62A1">
      <w:pPr>
        <w:pStyle w:val="Standard"/>
      </w:pPr>
      <w:r>
        <w:t>Dodavatel musí:</w:t>
      </w:r>
    </w:p>
    <w:p w14:paraId="3B1FDF8F" w14:textId="4F1DFC2D" w:rsidR="007F69F3" w:rsidRDefault="000D62A1">
      <w:pPr>
        <w:pStyle w:val="Standard"/>
        <w:numPr>
          <w:ilvl w:val="0"/>
          <w:numId w:val="7"/>
        </w:numPr>
      </w:pPr>
      <w:r>
        <w:t>Být autorizovaným partnerem výrobce pro daný produkt.</w:t>
      </w:r>
    </w:p>
    <w:p w14:paraId="50D04E3C" w14:textId="030B2FA4" w:rsidR="007F69F3" w:rsidRDefault="000D62A1">
      <w:pPr>
        <w:pStyle w:val="Standard"/>
        <w:numPr>
          <w:ilvl w:val="0"/>
          <w:numId w:val="3"/>
        </w:numPr>
      </w:pPr>
      <w:r>
        <w:t>Zajistit registraci licencí přímo na objednatele (</w:t>
      </w:r>
      <w:r w:rsidR="007607F4">
        <w:t xml:space="preserve">bude ověřeno po aktivaci licence </w:t>
      </w:r>
      <w:r>
        <w:t>v SW).</w:t>
      </w:r>
    </w:p>
    <w:p w14:paraId="6256331B" w14:textId="77777777" w:rsidR="007F69F3" w:rsidRDefault="000D62A1">
      <w:pPr>
        <w:pStyle w:val="Standard"/>
        <w:numPr>
          <w:ilvl w:val="0"/>
          <w:numId w:val="3"/>
        </w:numPr>
      </w:pPr>
      <w:r>
        <w:t>Dodat licenční certifikáty nebo přístupové údaje k licenčnímu portálu.</w:t>
      </w:r>
    </w:p>
    <w:p w14:paraId="1FF36E73" w14:textId="77777777" w:rsidR="007F69F3" w:rsidRDefault="000D62A1">
      <w:pPr>
        <w:pStyle w:val="Standard"/>
        <w:numPr>
          <w:ilvl w:val="0"/>
          <w:numId w:val="3"/>
        </w:numPr>
      </w:pPr>
      <w:r>
        <w:t>Garantovat legálnost a původ licencí (potvrzení výrobce).</w:t>
      </w:r>
    </w:p>
    <w:p w14:paraId="58E0EADF" w14:textId="77777777" w:rsidR="007F69F3" w:rsidRDefault="000D62A1">
      <w:pPr>
        <w:pStyle w:val="Standard"/>
        <w:numPr>
          <w:ilvl w:val="0"/>
          <w:numId w:val="3"/>
        </w:numPr>
      </w:pPr>
      <w:r>
        <w:t>Poskytnout součinnost při aktivaci licencí.</w:t>
      </w:r>
    </w:p>
    <w:p w14:paraId="479F5696" w14:textId="77777777" w:rsidR="007F69F3" w:rsidRDefault="007F69F3">
      <w:pPr>
        <w:pStyle w:val="Standard"/>
      </w:pPr>
    </w:p>
    <w:p w14:paraId="46C98FB5" w14:textId="77777777" w:rsidR="007F69F3" w:rsidRDefault="000D62A1">
      <w:pPr>
        <w:pStyle w:val="Standard"/>
        <w:rPr>
          <w:b/>
          <w:bCs/>
        </w:rPr>
      </w:pPr>
      <w:r>
        <w:rPr>
          <w:b/>
          <w:bCs/>
        </w:rPr>
        <w:t>6. Termín plnění</w:t>
      </w:r>
    </w:p>
    <w:p w14:paraId="3D9AFD14" w14:textId="77777777" w:rsidR="007F69F3" w:rsidRDefault="000D62A1">
      <w:pPr>
        <w:pStyle w:val="Standard"/>
      </w:pPr>
      <w:r>
        <w:t>Licence musí být dodány nejpozději do 30 pracovních dnů od účinnosti smlouvy / objednávky.</w:t>
      </w:r>
    </w:p>
    <w:p w14:paraId="7DEBB86F" w14:textId="10B0472F" w:rsidR="007F69F3" w:rsidRDefault="00680AAB">
      <w:pPr>
        <w:pStyle w:val="Standard"/>
      </w:pPr>
      <w:r>
        <w:t>Servisní podpora běží po dobu 36 měsíců od data aktivace nebo registrace licencí.</w:t>
      </w:r>
    </w:p>
    <w:p w14:paraId="570F882A" w14:textId="77777777" w:rsidR="007F69F3" w:rsidRDefault="007F69F3">
      <w:pPr>
        <w:pStyle w:val="Standard"/>
      </w:pPr>
    </w:p>
    <w:p w14:paraId="09E78742" w14:textId="77777777" w:rsidR="007F69F3" w:rsidRDefault="000D62A1">
      <w:pPr>
        <w:pStyle w:val="Standard"/>
        <w:rPr>
          <w:b/>
          <w:bCs/>
        </w:rPr>
      </w:pPr>
      <w:r>
        <w:rPr>
          <w:b/>
          <w:bCs/>
        </w:rPr>
        <w:t>7. Akceptace plnění</w:t>
      </w:r>
    </w:p>
    <w:p w14:paraId="123C93D8" w14:textId="77777777" w:rsidR="007F69F3" w:rsidRDefault="000D62A1">
      <w:pPr>
        <w:pStyle w:val="Standard"/>
      </w:pPr>
      <w:r>
        <w:t>Plnění bude považováno za řádně dodané po:</w:t>
      </w:r>
    </w:p>
    <w:p w14:paraId="39008708" w14:textId="77777777" w:rsidR="007F69F3" w:rsidRDefault="000D62A1">
      <w:pPr>
        <w:pStyle w:val="Standard"/>
        <w:numPr>
          <w:ilvl w:val="0"/>
          <w:numId w:val="8"/>
        </w:numPr>
      </w:pPr>
      <w:r>
        <w:t>Předání licenčních certifikátů.</w:t>
      </w:r>
    </w:p>
    <w:p w14:paraId="64491545" w14:textId="77777777" w:rsidR="007F69F3" w:rsidRDefault="000D62A1">
      <w:pPr>
        <w:pStyle w:val="Standard"/>
        <w:numPr>
          <w:ilvl w:val="0"/>
          <w:numId w:val="4"/>
        </w:numPr>
      </w:pPr>
      <w:r>
        <w:t>Úspěšném zavedení licencí v produktu.</w:t>
      </w:r>
    </w:p>
    <w:p w14:paraId="62C1F053" w14:textId="54CD633E" w:rsidR="007F69F3" w:rsidRDefault="000D62A1">
      <w:pPr>
        <w:pStyle w:val="Standard"/>
        <w:numPr>
          <w:ilvl w:val="0"/>
          <w:numId w:val="4"/>
        </w:numPr>
      </w:pPr>
      <w:r>
        <w:t xml:space="preserve">Potvrzení aktivní </w:t>
      </w:r>
      <w:r w:rsidR="001B79CE">
        <w:t xml:space="preserve">servisní </w:t>
      </w:r>
      <w:r>
        <w:t>podpory na období 36 měsíců.</w:t>
      </w:r>
    </w:p>
    <w:p w14:paraId="452D8E72" w14:textId="77777777" w:rsidR="007F69F3" w:rsidRDefault="007F69F3">
      <w:pPr>
        <w:pStyle w:val="Standard"/>
      </w:pPr>
    </w:p>
    <w:p w14:paraId="05656772" w14:textId="77777777" w:rsidR="004E7A8F" w:rsidRPr="004A5780" w:rsidRDefault="004E7A8F" w:rsidP="004E7A8F">
      <w:pPr>
        <w:pStyle w:val="Standard"/>
        <w:spacing w:after="120"/>
        <w:rPr>
          <w:b/>
          <w:bCs/>
        </w:rPr>
      </w:pPr>
      <w:r w:rsidRPr="005F3262">
        <w:rPr>
          <w:b/>
          <w:bCs/>
        </w:rPr>
        <w:lastRenderedPageBreak/>
        <w:t>Zdůvodnění požadavku na nákup konkrétního produktu:</w:t>
      </w:r>
    </w:p>
    <w:p w14:paraId="1E3E41D4" w14:textId="138CAC75" w:rsidR="004E7A8F" w:rsidRPr="005F3262" w:rsidRDefault="004E7A8F" w:rsidP="004E7A8F">
      <w:pPr>
        <w:pStyle w:val="Standard"/>
        <w:jc w:val="both"/>
      </w:pPr>
      <w:r>
        <w:t xml:space="preserve">Předmětem zakázky je </w:t>
      </w:r>
      <w:r w:rsidRPr="005F3262">
        <w:t xml:space="preserve">povýšení licencí SW </w:t>
      </w:r>
      <w:proofErr w:type="spellStart"/>
      <w:r w:rsidRPr="005F3262">
        <w:t>GreyCortex</w:t>
      </w:r>
      <w:proofErr w:type="spellEnd"/>
      <w:r w:rsidRPr="005F3262">
        <w:t xml:space="preserve">, který Ostravská univerzita zakoupila </w:t>
      </w:r>
      <w:r w:rsidR="008A64FB">
        <w:t xml:space="preserve">v roce 2023 v rámci zakázky Dodávka prvků pro posílení bezpečnosti síťové infrastruktury na OU </w:t>
      </w:r>
      <w:r>
        <w:t>a</w:t>
      </w:r>
      <w:r w:rsidR="009C48FC">
        <w:t> </w:t>
      </w:r>
      <w:r>
        <w:t xml:space="preserve">v současné době jej používá pro monitorování síťového provozu a zajištění kybernetické bezpečnosti. Je nezbytně nutné, aby předmět plnění byl se stávajícím softwarem plně kompatibilní. </w:t>
      </w:r>
    </w:p>
    <w:p w14:paraId="7D8228D5" w14:textId="77777777" w:rsidR="004E7A8F" w:rsidRDefault="004E7A8F">
      <w:pPr>
        <w:pStyle w:val="Standard"/>
      </w:pPr>
    </w:p>
    <w:sectPr w:rsidR="004E7A8F" w:rsidSect="004E7A8F">
      <w:pgSz w:w="11906" w:h="16838"/>
      <w:pgMar w:top="1135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752AC" w14:textId="77777777" w:rsidR="00803EE4" w:rsidRDefault="00803EE4">
      <w:r>
        <w:separator/>
      </w:r>
    </w:p>
  </w:endnote>
  <w:endnote w:type="continuationSeparator" w:id="0">
    <w:p w14:paraId="56F8E71D" w14:textId="77777777" w:rsidR="00803EE4" w:rsidRDefault="0080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F230A" w14:textId="77777777" w:rsidR="00803EE4" w:rsidRDefault="00803EE4">
      <w:r>
        <w:rPr>
          <w:color w:val="000000"/>
        </w:rPr>
        <w:separator/>
      </w:r>
    </w:p>
  </w:footnote>
  <w:footnote w:type="continuationSeparator" w:id="0">
    <w:p w14:paraId="29FAE08B" w14:textId="77777777" w:rsidR="00803EE4" w:rsidRDefault="00803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C66AD"/>
    <w:multiLevelType w:val="multilevel"/>
    <w:tmpl w:val="827097FE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64AE34CA"/>
    <w:multiLevelType w:val="multilevel"/>
    <w:tmpl w:val="BF86FB2C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6BD349DB"/>
    <w:multiLevelType w:val="multilevel"/>
    <w:tmpl w:val="555AC190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701355A2"/>
    <w:multiLevelType w:val="multilevel"/>
    <w:tmpl w:val="E482D3E6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287854953">
    <w:abstractNumId w:val="2"/>
  </w:num>
  <w:num w:numId="2" w16cid:durableId="817724221">
    <w:abstractNumId w:val="1"/>
  </w:num>
  <w:num w:numId="3" w16cid:durableId="1121799005">
    <w:abstractNumId w:val="0"/>
  </w:num>
  <w:num w:numId="4" w16cid:durableId="1726951572">
    <w:abstractNumId w:val="3"/>
  </w:num>
  <w:num w:numId="5" w16cid:durableId="1611162849">
    <w:abstractNumId w:val="2"/>
  </w:num>
  <w:num w:numId="6" w16cid:durableId="1800149144">
    <w:abstractNumId w:val="1"/>
  </w:num>
  <w:num w:numId="7" w16cid:durableId="814297179">
    <w:abstractNumId w:val="0"/>
  </w:num>
  <w:num w:numId="8" w16cid:durableId="1327440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F3"/>
    <w:rsid w:val="00067799"/>
    <w:rsid w:val="00082056"/>
    <w:rsid w:val="000D62A1"/>
    <w:rsid w:val="00122E91"/>
    <w:rsid w:val="001B79CE"/>
    <w:rsid w:val="00252865"/>
    <w:rsid w:val="00276789"/>
    <w:rsid w:val="002E1681"/>
    <w:rsid w:val="00463D91"/>
    <w:rsid w:val="004B3FCE"/>
    <w:rsid w:val="004E7A8F"/>
    <w:rsid w:val="00552D9A"/>
    <w:rsid w:val="005D2869"/>
    <w:rsid w:val="00604486"/>
    <w:rsid w:val="00644542"/>
    <w:rsid w:val="006639C6"/>
    <w:rsid w:val="00680AAB"/>
    <w:rsid w:val="006C5094"/>
    <w:rsid w:val="007607F4"/>
    <w:rsid w:val="007C605E"/>
    <w:rsid w:val="007F69F3"/>
    <w:rsid w:val="00803EE4"/>
    <w:rsid w:val="00861E40"/>
    <w:rsid w:val="00864368"/>
    <w:rsid w:val="008A64FB"/>
    <w:rsid w:val="00920D52"/>
    <w:rsid w:val="009800D0"/>
    <w:rsid w:val="009C48FC"/>
    <w:rsid w:val="009E5EE0"/>
    <w:rsid w:val="00AB7820"/>
    <w:rsid w:val="00B3090A"/>
    <w:rsid w:val="00D12E8D"/>
    <w:rsid w:val="00D63FA2"/>
    <w:rsid w:val="00EA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C6D0"/>
  <w15:docId w15:val="{4510F930-EE55-431A-AD48-516096A1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sz w:val="20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sz w:val="20"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sz w:val="20"/>
    </w:rPr>
  </w:style>
  <w:style w:type="character" w:customStyle="1" w:styleId="ListLabel40">
    <w:name w:val="ListLabel 40"/>
    <w:rPr>
      <w:sz w:val="20"/>
    </w:rPr>
  </w:style>
  <w:style w:type="character" w:customStyle="1" w:styleId="ListLabel41">
    <w:name w:val="ListLabel 41"/>
    <w:rPr>
      <w:sz w:val="20"/>
    </w:rPr>
  </w:style>
  <w:style w:type="character" w:customStyle="1" w:styleId="ListLabel42">
    <w:name w:val="ListLabel 42"/>
    <w:rPr>
      <w:sz w:val="20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sz w:val="20"/>
    </w:rPr>
  </w:style>
  <w:style w:type="numbering" w:customStyle="1" w:styleId="WWNum2">
    <w:name w:val="WWNum2"/>
    <w:basedOn w:val="Bezseznamu"/>
    <w:pPr>
      <w:numPr>
        <w:numId w:val="1"/>
      </w:numPr>
    </w:pPr>
  </w:style>
  <w:style w:type="numbering" w:customStyle="1" w:styleId="WWNum3">
    <w:name w:val="WWNum3"/>
    <w:basedOn w:val="Bezseznamu"/>
    <w:pPr>
      <w:numPr>
        <w:numId w:val="2"/>
      </w:numPr>
    </w:pPr>
  </w:style>
  <w:style w:type="numbering" w:customStyle="1" w:styleId="WWNum4">
    <w:name w:val="WWNum4"/>
    <w:basedOn w:val="Bezseznamu"/>
    <w:pPr>
      <w:numPr>
        <w:numId w:val="3"/>
      </w:numPr>
    </w:pPr>
  </w:style>
  <w:style w:type="numbering" w:customStyle="1" w:styleId="WWNum5">
    <w:name w:val="WWNum5"/>
    <w:basedOn w:val="Bezseznamu"/>
    <w:pPr>
      <w:numPr>
        <w:numId w:val="4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0820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2056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2056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20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056"/>
    <w:rPr>
      <w:rFonts w:cs="Mangal"/>
      <w:b/>
      <w:bCs/>
      <w:sz w:val="20"/>
      <w:szCs w:val="18"/>
    </w:rPr>
  </w:style>
  <w:style w:type="paragraph" w:styleId="Revize">
    <w:name w:val="Revision"/>
    <w:hidden/>
    <w:uiPriority w:val="99"/>
    <w:semiHidden/>
    <w:rsid w:val="008A64FB"/>
    <w:pPr>
      <w:suppressAutoHyphens w:val="0"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Čudová Denisa</dc:creator>
  <cp:lastModifiedBy>Čudová Denisa</cp:lastModifiedBy>
  <cp:revision>6</cp:revision>
  <dcterms:created xsi:type="dcterms:W3CDTF">2026-03-05T07:47:00Z</dcterms:created>
  <dcterms:modified xsi:type="dcterms:W3CDTF">2026-03-09T11:19:00Z</dcterms:modified>
</cp:coreProperties>
</file>